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32" w:rsidRPr="00BE30AC" w:rsidRDefault="00056D69">
      <w:pPr>
        <w:rPr>
          <w:sz w:val="20"/>
          <w:szCs w:val="20"/>
        </w:rPr>
      </w:pPr>
      <w:r>
        <w:rPr>
          <w:noProof/>
          <w:sz w:val="20"/>
          <w:szCs w:val="20"/>
          <w:lang w:eastAsia="de-DE"/>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7268040" cy="5076720"/>
            <wp:effectExtent l="0" t="0" r="9060"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268040" cy="5076720"/>
                    </a:xfrm>
                    <a:prstGeom prst="rect">
                      <a:avLst/>
                    </a:prstGeom>
                  </pic:spPr>
                </pic:pic>
              </a:graphicData>
            </a:graphic>
          </wp:anchor>
        </w:drawing>
      </w:r>
    </w:p>
    <w:p w:rsidR="000F3EBA" w:rsidRPr="000F3EBA" w:rsidRDefault="000F3EBA" w:rsidP="000F3EBA">
      <w:pPr>
        <w:spacing w:after="0" w:line="240" w:lineRule="auto"/>
        <w:rPr>
          <w:color w:val="0070C0"/>
          <w:u w:val="single"/>
        </w:rPr>
      </w:pPr>
      <w:hyperlink r:id="rId8" w:history="1">
        <w:r w:rsidRPr="000F3EBA">
          <w:rPr>
            <w:color w:val="0070C0"/>
            <w:u w:val="single"/>
          </w:rPr>
          <w:t>https://c.dna.fr/environnement/2018/11/08/la-surete-maximale-jusqu-au-bout</w:t>
        </w:r>
      </w:hyperlink>
    </w:p>
    <w:p w:rsidR="000F3EBA" w:rsidRPr="000F3EBA" w:rsidRDefault="000F3EBA" w:rsidP="000F3EBA">
      <w:pPr>
        <w:spacing w:after="0" w:line="240" w:lineRule="auto"/>
        <w:rPr>
          <w:color w:val="0070C0"/>
          <w:u w:val="single"/>
        </w:rPr>
      </w:pPr>
      <w:hyperlink r:id="rId9" w:history="1">
        <w:r w:rsidRPr="000F3EBA">
          <w:rPr>
            <w:color w:val="0070C0"/>
            <w:u w:val="single"/>
          </w:rPr>
          <w:t>https://www.lalsace.fr/actualite/2018/11/08/la-surete-maximale-jusqu-au-bout</w:t>
        </w:r>
      </w:hyperlink>
    </w:p>
    <w:p w:rsidR="000F3EBA" w:rsidRDefault="000F3EBA">
      <w:pPr>
        <w:spacing w:after="0" w:line="240" w:lineRule="auto"/>
        <w:rPr>
          <w:rFonts w:eastAsia="Times New Roman" w:cs="Times New Roman"/>
          <w:sz w:val="20"/>
          <w:szCs w:val="20"/>
          <w:lang w:eastAsia="de-DE"/>
        </w:rPr>
      </w:pPr>
    </w:p>
    <w:p w:rsidR="00960232" w:rsidRDefault="00056D69">
      <w:pPr>
        <w:spacing w:after="0" w:line="240" w:lineRule="auto"/>
        <w:rPr>
          <w:rFonts w:eastAsia="Times New Roman" w:cs="Times New Roman"/>
          <w:sz w:val="20"/>
          <w:szCs w:val="20"/>
          <w:lang w:val="fr-FR" w:eastAsia="de-DE"/>
        </w:rPr>
      </w:pPr>
      <w:r>
        <w:rPr>
          <w:rFonts w:eastAsia="Times New Roman" w:cs="Times New Roman"/>
          <w:sz w:val="20"/>
          <w:szCs w:val="20"/>
          <w:lang w:val="fr-FR" w:eastAsia="de-DE"/>
        </w:rPr>
        <w:t>08/11/2018 à 05:00, Olivier BRÉGEARD</w:t>
      </w:r>
    </w:p>
    <w:p w:rsidR="00960232" w:rsidRPr="00BE30AC" w:rsidRDefault="00056D69">
      <w:pPr>
        <w:spacing w:before="100" w:after="100" w:line="240" w:lineRule="auto"/>
        <w:outlineLvl w:val="0"/>
        <w:rPr>
          <w:lang w:val="fr-FR"/>
        </w:rPr>
      </w:pPr>
      <w:r>
        <w:rPr>
          <w:rFonts w:eastAsia="Times New Roman" w:cs="Times New Roman"/>
          <w:b/>
          <w:bCs/>
          <w:sz w:val="24"/>
          <w:szCs w:val="24"/>
          <w:lang w:val="fr-FR" w:eastAsia="de-DE"/>
        </w:rPr>
        <w:t>Energie</w:t>
      </w:r>
      <w:r>
        <w:rPr>
          <w:rFonts w:eastAsia="Times New Roman" w:cs="Times New Roman"/>
          <w:b/>
          <w:bCs/>
          <w:sz w:val="36"/>
          <w:szCs w:val="36"/>
          <w:lang w:val="fr-FR" w:eastAsia="de-DE"/>
        </w:rPr>
        <w:t xml:space="preserve"> - Fessenheim: la sûreté maximale </w:t>
      </w:r>
      <w:r>
        <w:rPr>
          <w:rFonts w:eastAsia="Times New Roman" w:cs="Times New Roman"/>
          <w:b/>
          <w:bCs/>
          <w:sz w:val="36"/>
          <w:szCs w:val="36"/>
          <w:lang w:val="fr-FR" w:eastAsia="de-DE"/>
        </w:rPr>
        <w:t>jusqu’au bout ?</w:t>
      </w:r>
    </w:p>
    <w:p w:rsidR="00960232" w:rsidRPr="00BE30AC" w:rsidRDefault="00056D69">
      <w:pPr>
        <w:spacing w:before="100" w:after="100" w:line="240" w:lineRule="auto"/>
        <w:outlineLvl w:val="1"/>
        <w:rPr>
          <w:lang w:val="fr-FR"/>
        </w:rPr>
      </w:pPr>
      <w:r>
        <w:rPr>
          <w:rFonts w:eastAsia="Times New Roman" w:cs="Times New Roman"/>
          <w:b/>
          <w:bCs/>
          <w:sz w:val="24"/>
          <w:szCs w:val="24"/>
          <w:lang w:val="fr-FR" w:eastAsia="de-DE"/>
        </w:rPr>
        <w:t xml:space="preserve">Prenant acte de l’arrêt définitif de la centrale alsacienne d’ici 2020-2022, l’Autorité de sûreté nucléaire a renoncé à imposer à </w:t>
      </w:r>
      <w:r>
        <w:rPr>
          <w:rFonts w:eastAsia="Times New Roman" w:cs="Times New Roman"/>
          <w:b/>
          <w:bCs/>
          <w:color w:val="FF0000"/>
          <w:sz w:val="24"/>
          <w:szCs w:val="24"/>
          <w:lang w:val="fr-FR" w:eastAsia="de-DE"/>
        </w:rPr>
        <w:t>EDF</w:t>
      </w:r>
      <w:r>
        <w:rPr>
          <w:rFonts w:eastAsia="Times New Roman" w:cs="Times New Roman"/>
          <w:b/>
          <w:bCs/>
          <w:sz w:val="24"/>
          <w:szCs w:val="24"/>
          <w:lang w:val="fr-FR" w:eastAsia="de-DE"/>
        </w:rPr>
        <w:t xml:space="preserve"> l’installation d’un diesel d’ultime secours, comme elle l’avait réclamée en 2012. Les </w:t>
      </w:r>
      <w:r>
        <w:rPr>
          <w:rFonts w:eastAsia="Times New Roman" w:cs="Times New Roman"/>
          <w:b/>
          <w:bCs/>
          <w:color w:val="FF0000"/>
          <w:sz w:val="24"/>
          <w:szCs w:val="24"/>
          <w:lang w:val="fr-FR" w:eastAsia="de-DE"/>
        </w:rPr>
        <w:t>écologistes</w:t>
      </w:r>
      <w:r>
        <w:rPr>
          <w:rFonts w:eastAsia="Times New Roman" w:cs="Times New Roman"/>
          <w:b/>
          <w:bCs/>
          <w:sz w:val="24"/>
          <w:szCs w:val="24"/>
          <w:lang w:val="fr-FR" w:eastAsia="de-DE"/>
        </w:rPr>
        <w:t xml:space="preserve"> crient </w:t>
      </w:r>
      <w:r>
        <w:rPr>
          <w:rFonts w:eastAsia="Times New Roman" w:cs="Times New Roman"/>
          <w:b/>
          <w:bCs/>
          <w:sz w:val="24"/>
          <w:szCs w:val="24"/>
          <w:lang w:val="fr-FR" w:eastAsia="de-DE"/>
        </w:rPr>
        <w:t>au scandale.</w:t>
      </w:r>
    </w:p>
    <w:p w:rsidR="00960232" w:rsidRDefault="00056D69">
      <w:pPr>
        <w:spacing w:line="240" w:lineRule="auto"/>
        <w:rPr>
          <w:sz w:val="20"/>
          <w:szCs w:val="20"/>
          <w:lang w:val="fr-FR"/>
        </w:rPr>
      </w:pPr>
      <w:r>
        <w:rPr>
          <w:sz w:val="20"/>
          <w:szCs w:val="20"/>
          <w:lang w:val="fr-FR"/>
        </w:rPr>
        <w:t xml:space="preserve">L’ASN explique « adapter » ses prescriptions à la perspective d’arrêt de fonctionnement de la centrale nucléaire, « tout en conservant l’ambition d’améliorer la sûreté ». </w:t>
      </w:r>
      <w:proofErr w:type="gramStart"/>
      <w:r>
        <w:rPr>
          <w:sz w:val="20"/>
          <w:szCs w:val="20"/>
          <w:lang w:val="fr-FR"/>
        </w:rPr>
        <w:t>photo</w:t>
      </w:r>
      <w:proofErr w:type="gramEnd"/>
      <w:r>
        <w:rPr>
          <w:sz w:val="20"/>
          <w:szCs w:val="20"/>
          <w:lang w:val="fr-FR"/>
        </w:rPr>
        <w:t xml:space="preserve"> L’Alsace/Thierry </w:t>
      </w:r>
      <w:proofErr w:type="spellStart"/>
      <w:r>
        <w:rPr>
          <w:sz w:val="20"/>
          <w:szCs w:val="20"/>
          <w:lang w:val="fr-FR"/>
        </w:rPr>
        <w:t>Gachon</w:t>
      </w:r>
      <w:proofErr w:type="spellEnd"/>
    </w:p>
    <w:p w:rsidR="00960232" w:rsidRPr="00BE30AC" w:rsidRDefault="00056D69">
      <w:pPr>
        <w:pStyle w:val="StandardWeb"/>
        <w:rPr>
          <w:lang w:val="fr-FR"/>
        </w:rPr>
      </w:pPr>
      <w:r w:rsidRPr="00AD0EB0">
        <w:rPr>
          <w:rFonts w:ascii="Calibri" w:hAnsi="Calibri"/>
          <w:color w:val="FF0000"/>
          <w:lang w:val="fr-FR"/>
        </w:rPr>
        <w:t>EDF</w:t>
      </w:r>
      <w:r>
        <w:rPr>
          <w:rFonts w:ascii="Calibri" w:hAnsi="Calibri"/>
          <w:lang w:val="fr-FR"/>
        </w:rPr>
        <w:t xml:space="preserve"> et l’Autorité de sûreté nucléaire (</w:t>
      </w:r>
      <w:r>
        <w:rPr>
          <w:rFonts w:ascii="Calibri" w:hAnsi="Calibri"/>
          <w:color w:val="FF0000"/>
          <w:lang w:val="fr-FR"/>
        </w:rPr>
        <w:t>AS</w:t>
      </w:r>
      <w:r>
        <w:rPr>
          <w:rFonts w:ascii="Calibri" w:hAnsi="Calibri"/>
          <w:color w:val="FF0000"/>
          <w:lang w:val="fr-FR"/>
        </w:rPr>
        <w:t>N</w:t>
      </w:r>
      <w:r>
        <w:rPr>
          <w:rFonts w:ascii="Calibri" w:hAnsi="Calibri"/>
          <w:lang w:val="fr-FR"/>
        </w:rPr>
        <w:t xml:space="preserve">) répètent, depuis des années, que la centrale de </w:t>
      </w:r>
      <w:r w:rsidRPr="00AD0EB0">
        <w:rPr>
          <w:rFonts w:ascii="Calibri" w:hAnsi="Calibri"/>
          <w:color w:val="FF0000"/>
          <w:lang w:val="fr-FR"/>
        </w:rPr>
        <w:t>Fessenheim</w:t>
      </w:r>
      <w:r>
        <w:rPr>
          <w:rFonts w:ascii="Calibri" w:hAnsi="Calibri"/>
          <w:lang w:val="fr-FR"/>
        </w:rPr>
        <w:t xml:space="preserve"> </w:t>
      </w:r>
      <w:r w:rsidRPr="00AD0EB0">
        <w:rPr>
          <w:rFonts w:ascii="Calibri" w:hAnsi="Calibri"/>
          <w:b/>
          <w:lang w:val="fr-FR"/>
        </w:rPr>
        <w:t>fonctionnera jusqu’à son arrêt définitif avec le même niveau d’exigence, en matière de sûreté</w:t>
      </w:r>
      <w:r>
        <w:rPr>
          <w:rFonts w:ascii="Calibri" w:hAnsi="Calibri"/>
          <w:lang w:val="fr-FR"/>
        </w:rPr>
        <w:t xml:space="preserve">, que le reste du parc nucléaire français. Les </w:t>
      </w:r>
      <w:r w:rsidRPr="00AD0EB0">
        <w:rPr>
          <w:rFonts w:ascii="Calibri" w:hAnsi="Calibri"/>
          <w:color w:val="FF0000"/>
          <w:lang w:val="fr-FR"/>
        </w:rPr>
        <w:t xml:space="preserve">associations antinucléaires </w:t>
      </w:r>
      <w:r w:rsidRPr="00AD0EB0">
        <w:rPr>
          <w:rFonts w:ascii="Calibri" w:hAnsi="Calibri"/>
          <w:color w:val="FF0000"/>
          <w:lang w:val="fr-FR"/>
        </w:rPr>
        <w:t>alsaciennes</w:t>
      </w:r>
      <w:r>
        <w:rPr>
          <w:rFonts w:ascii="Calibri" w:hAnsi="Calibri"/>
          <w:lang w:val="fr-FR"/>
        </w:rPr>
        <w:t xml:space="preserve"> ont donc jeté </w:t>
      </w:r>
      <w:r>
        <w:rPr>
          <w:rFonts w:ascii="Calibri" w:hAnsi="Calibri"/>
          <w:lang w:val="fr-FR"/>
        </w:rPr>
        <w:t xml:space="preserve">un pavé dans la mare, le jour de la Toussaint, en révélant un projet de décision de </w:t>
      </w:r>
      <w:r>
        <w:rPr>
          <w:rFonts w:ascii="Calibri" w:hAnsi="Calibri"/>
          <w:color w:val="FF0000"/>
          <w:lang w:val="fr-FR"/>
        </w:rPr>
        <w:t>l’ASN</w:t>
      </w:r>
      <w:r>
        <w:rPr>
          <w:rFonts w:ascii="Calibri" w:hAnsi="Calibri"/>
          <w:lang w:val="fr-FR"/>
        </w:rPr>
        <w:t xml:space="preserve"> visant notamment à </w:t>
      </w:r>
      <w:r>
        <w:rPr>
          <w:rFonts w:ascii="Calibri" w:hAnsi="Calibri"/>
          <w:b/>
          <w:lang w:val="fr-FR"/>
        </w:rPr>
        <w:t>abandonner l’obligation, imposée à l’exploitant en 2012, d’installer un moyen d’alimentation électrique supplémentaire avant la fin de cette année.</w:t>
      </w:r>
    </w:p>
    <w:p w:rsidR="00960232" w:rsidRPr="00BE30AC" w:rsidRDefault="00056D69">
      <w:pPr>
        <w:pStyle w:val="StandardWeb"/>
        <w:rPr>
          <w:lang w:val="fr-FR"/>
        </w:rPr>
      </w:pPr>
      <w:r>
        <w:rPr>
          <w:rFonts w:ascii="Calibri" w:hAnsi="Calibri"/>
          <w:lang w:val="fr-FR"/>
        </w:rPr>
        <w:lastRenderedPageBreak/>
        <w:t xml:space="preserve">« La centrale de </w:t>
      </w:r>
      <w:r>
        <w:rPr>
          <w:rFonts w:ascii="Calibri" w:hAnsi="Calibri"/>
          <w:color w:val="FF0000"/>
          <w:lang w:val="fr-FR"/>
        </w:rPr>
        <w:t>Fessenheim</w:t>
      </w:r>
      <w:r>
        <w:rPr>
          <w:rFonts w:ascii="Calibri" w:hAnsi="Calibri"/>
          <w:lang w:val="fr-FR"/>
        </w:rPr>
        <w:t xml:space="preserve"> doit </w:t>
      </w:r>
      <w:r>
        <w:rPr>
          <w:rFonts w:ascii="Calibri" w:hAnsi="Calibri"/>
          <w:b/>
          <w:lang w:val="fr-FR"/>
        </w:rPr>
        <w:t>légalement être fermée le 31 décembre 2018</w:t>
      </w:r>
      <w:r>
        <w:rPr>
          <w:rFonts w:ascii="Calibri" w:hAnsi="Calibri"/>
          <w:lang w:val="fr-FR"/>
        </w:rPr>
        <w:t xml:space="preserve"> et cependant </w:t>
      </w:r>
      <w:r>
        <w:rPr>
          <w:rFonts w:ascii="Calibri" w:hAnsi="Calibri"/>
          <w:color w:val="FF0000"/>
          <w:lang w:val="fr-FR"/>
        </w:rPr>
        <w:t>l’ASN</w:t>
      </w:r>
      <w:r>
        <w:rPr>
          <w:rFonts w:ascii="Calibri" w:hAnsi="Calibri"/>
          <w:lang w:val="fr-FR"/>
        </w:rPr>
        <w:t xml:space="preserve"> se dérobe », dénoncent conjointement </w:t>
      </w:r>
      <w:r>
        <w:rPr>
          <w:rFonts w:ascii="Calibri" w:hAnsi="Calibri"/>
          <w:color w:val="FF0000"/>
          <w:lang w:val="fr-FR"/>
        </w:rPr>
        <w:t>Stop Fessenheim, Stop Transports-Halte au Nucléaire, le CSFR, Alsace Nature</w:t>
      </w:r>
      <w:r>
        <w:rPr>
          <w:rFonts w:ascii="Calibri" w:hAnsi="Calibri"/>
          <w:lang w:val="fr-FR"/>
        </w:rPr>
        <w:t xml:space="preserve"> et le collectif </w:t>
      </w:r>
      <w:r>
        <w:rPr>
          <w:rFonts w:ascii="Calibri" w:hAnsi="Calibri"/>
          <w:color w:val="FF0000"/>
          <w:lang w:val="fr-FR"/>
        </w:rPr>
        <w:t xml:space="preserve">Les Citoyens Vigilants </w:t>
      </w:r>
      <w:r>
        <w:rPr>
          <w:rFonts w:ascii="Calibri" w:hAnsi="Calibri"/>
          <w:lang w:val="fr-FR"/>
        </w:rPr>
        <w:t>des envi</w:t>
      </w:r>
      <w:r>
        <w:rPr>
          <w:rFonts w:ascii="Calibri" w:hAnsi="Calibri"/>
          <w:lang w:val="fr-FR"/>
        </w:rPr>
        <w:t xml:space="preserve">rons de </w:t>
      </w:r>
      <w:r>
        <w:rPr>
          <w:rFonts w:ascii="Calibri" w:hAnsi="Calibri"/>
          <w:color w:val="FF0000"/>
          <w:lang w:val="fr-FR"/>
        </w:rPr>
        <w:t>Fessenheim</w:t>
      </w:r>
      <w:r>
        <w:rPr>
          <w:rFonts w:ascii="Calibri" w:hAnsi="Calibri"/>
          <w:lang w:val="fr-FR"/>
        </w:rPr>
        <w:t>.</w:t>
      </w:r>
    </w:p>
    <w:p w:rsidR="00960232" w:rsidRPr="00BE30AC" w:rsidRDefault="00056D69">
      <w:pPr>
        <w:pStyle w:val="StandardWeb"/>
        <w:rPr>
          <w:lang w:val="fr-FR"/>
        </w:rPr>
      </w:pPr>
      <w:r>
        <w:rPr>
          <w:rFonts w:ascii="Calibri" w:hAnsi="Calibri"/>
          <w:lang w:val="fr-FR"/>
        </w:rPr>
        <w:t xml:space="preserve">Lorsque </w:t>
      </w:r>
      <w:r>
        <w:rPr>
          <w:rFonts w:ascii="Calibri" w:hAnsi="Calibri"/>
          <w:color w:val="FF0000"/>
          <w:lang w:val="fr-FR"/>
        </w:rPr>
        <w:t>l’ASN</w:t>
      </w:r>
      <w:r>
        <w:rPr>
          <w:rFonts w:ascii="Calibri" w:hAnsi="Calibri"/>
          <w:lang w:val="fr-FR"/>
        </w:rPr>
        <w:t xml:space="preserve"> avait publié cette </w:t>
      </w:r>
      <w:r>
        <w:rPr>
          <w:rFonts w:ascii="Calibri" w:hAnsi="Calibri"/>
          <w:b/>
          <w:lang w:val="fr-FR"/>
        </w:rPr>
        <w:t>obligation d’alimentation électrique supplémentaire</w:t>
      </w:r>
      <w:r>
        <w:rPr>
          <w:rFonts w:ascii="Calibri" w:hAnsi="Calibri"/>
          <w:lang w:val="fr-FR"/>
        </w:rPr>
        <w:t xml:space="preserve"> (ou « diesel d’ultime secours », DUS) </w:t>
      </w:r>
      <w:r>
        <w:rPr>
          <w:rFonts w:ascii="Calibri" w:hAnsi="Calibri"/>
          <w:b/>
          <w:lang w:val="fr-FR"/>
        </w:rPr>
        <w:t>en juin 2012</w:t>
      </w:r>
      <w:r>
        <w:rPr>
          <w:rFonts w:ascii="Calibri" w:hAnsi="Calibri"/>
          <w:lang w:val="fr-FR"/>
        </w:rPr>
        <w:t xml:space="preserve">, à l’issue des évaluations complémentaires de sûreté (dites « post-Fukushima »), la fermeture de la </w:t>
      </w:r>
      <w:r>
        <w:rPr>
          <w:rFonts w:ascii="Calibri" w:hAnsi="Calibri"/>
          <w:lang w:val="fr-FR"/>
        </w:rPr>
        <w:t xml:space="preserve">centrale avait déjà été annoncée par </w:t>
      </w:r>
      <w:r>
        <w:rPr>
          <w:rFonts w:ascii="Calibri" w:hAnsi="Calibri"/>
          <w:color w:val="FF0000"/>
          <w:lang w:val="fr-FR"/>
        </w:rPr>
        <w:t xml:space="preserve">François Hollande </w:t>
      </w:r>
      <w:r>
        <w:rPr>
          <w:rFonts w:ascii="Calibri" w:hAnsi="Calibri"/>
          <w:lang w:val="fr-FR"/>
        </w:rPr>
        <w:t>pour « fin 2016 », mais l’échéance fut maintes fois reportée, jusqu’à devenir incertaine.</w:t>
      </w:r>
    </w:p>
    <w:p w:rsidR="00960232" w:rsidRPr="00AD0EB0" w:rsidRDefault="00056D69">
      <w:pPr>
        <w:pStyle w:val="berschrift4"/>
        <w:rPr>
          <w:rFonts w:ascii="Calibri" w:hAnsi="Calibri"/>
          <w:i w:val="0"/>
          <w:sz w:val="28"/>
          <w:szCs w:val="28"/>
          <w:lang w:val="fr-FR"/>
        </w:rPr>
      </w:pPr>
      <w:r w:rsidRPr="00AD0EB0">
        <w:rPr>
          <w:rFonts w:ascii="Calibri" w:hAnsi="Calibri"/>
          <w:i w:val="0"/>
          <w:sz w:val="28"/>
          <w:szCs w:val="28"/>
          <w:lang w:val="fr-FR"/>
        </w:rPr>
        <w:t>Un cadre légal pour travailler</w:t>
      </w:r>
    </w:p>
    <w:p w:rsidR="00960232" w:rsidRPr="00BE30AC" w:rsidRDefault="00056D69">
      <w:pPr>
        <w:pStyle w:val="StandardWeb"/>
        <w:rPr>
          <w:lang w:val="fr-FR"/>
        </w:rPr>
      </w:pPr>
      <w:r>
        <w:rPr>
          <w:rFonts w:ascii="Calibri" w:hAnsi="Calibri"/>
          <w:lang w:val="fr-FR"/>
        </w:rPr>
        <w:t xml:space="preserve">Aujourd’hui, c’est </w:t>
      </w:r>
      <w:r>
        <w:rPr>
          <w:rFonts w:ascii="Calibri" w:hAnsi="Calibri"/>
          <w:color w:val="FF0000"/>
          <w:lang w:val="fr-FR"/>
        </w:rPr>
        <w:t>l’exploitant</w:t>
      </w:r>
      <w:r>
        <w:rPr>
          <w:rFonts w:ascii="Calibri" w:hAnsi="Calibri"/>
          <w:lang w:val="fr-FR"/>
        </w:rPr>
        <w:t xml:space="preserve"> lui-même qui prévoit </w:t>
      </w:r>
      <w:r>
        <w:rPr>
          <w:rFonts w:ascii="Calibri" w:hAnsi="Calibri"/>
          <w:b/>
          <w:lang w:val="fr-FR"/>
        </w:rPr>
        <w:t>un arrêt définitif, d’ici s</w:t>
      </w:r>
      <w:r>
        <w:rPr>
          <w:rFonts w:ascii="Calibri" w:hAnsi="Calibri"/>
          <w:b/>
          <w:lang w:val="fr-FR"/>
        </w:rPr>
        <w:t>eptembre 2020 pour le réacteur n°1, d’ici août 2022 pour le réacteur n°2</w:t>
      </w:r>
      <w:r>
        <w:rPr>
          <w:rFonts w:ascii="Calibri" w:hAnsi="Calibri"/>
          <w:lang w:val="fr-FR"/>
        </w:rPr>
        <w:t xml:space="preserve"> (lire nos précédentes éditions), et </w:t>
      </w:r>
      <w:r>
        <w:rPr>
          <w:rFonts w:ascii="Calibri" w:hAnsi="Calibri"/>
          <w:color w:val="FF0000"/>
          <w:lang w:val="fr-FR"/>
        </w:rPr>
        <w:t>l’ASN</w:t>
      </w:r>
      <w:r>
        <w:rPr>
          <w:rFonts w:ascii="Calibri" w:hAnsi="Calibri"/>
          <w:lang w:val="fr-FR"/>
        </w:rPr>
        <w:t xml:space="preserve"> tient simplement compte de cette réalité nouvelle, explique </w:t>
      </w:r>
      <w:r>
        <w:rPr>
          <w:rFonts w:ascii="Calibri" w:hAnsi="Calibri"/>
          <w:color w:val="FF0000"/>
          <w:lang w:val="fr-FR"/>
        </w:rPr>
        <w:t>Pierre Bois</w:t>
      </w:r>
      <w:r>
        <w:rPr>
          <w:rFonts w:ascii="Calibri" w:hAnsi="Calibri"/>
          <w:lang w:val="fr-FR"/>
        </w:rPr>
        <w:t xml:space="preserve">, </w:t>
      </w:r>
      <w:r w:rsidRPr="00AD0EB0">
        <w:rPr>
          <w:rFonts w:ascii="Calibri" w:hAnsi="Calibri"/>
          <w:b/>
          <w:lang w:val="fr-FR"/>
        </w:rPr>
        <w:t>chef</w:t>
      </w:r>
      <w:r>
        <w:rPr>
          <w:rFonts w:ascii="Calibri" w:hAnsi="Calibri"/>
          <w:lang w:val="fr-FR"/>
        </w:rPr>
        <w:t xml:space="preserve"> de la division de </w:t>
      </w:r>
      <w:r>
        <w:rPr>
          <w:rFonts w:ascii="Calibri" w:hAnsi="Calibri"/>
          <w:color w:val="FF0000"/>
          <w:lang w:val="fr-FR"/>
        </w:rPr>
        <w:t>Strasbourg</w:t>
      </w:r>
      <w:r>
        <w:rPr>
          <w:rFonts w:ascii="Calibri" w:hAnsi="Calibri"/>
          <w:lang w:val="fr-FR"/>
        </w:rPr>
        <w:t>. « Ce projet de décision prend act</w:t>
      </w:r>
      <w:r>
        <w:rPr>
          <w:rFonts w:ascii="Calibri" w:hAnsi="Calibri"/>
          <w:lang w:val="fr-FR"/>
        </w:rPr>
        <w:t>e réglementairement de la mise à l’arrêt annoncée du site et nous donne un cadre légal pour travailler, durant le temps de fonctionnement restant. »</w:t>
      </w:r>
    </w:p>
    <w:p w:rsidR="00960232" w:rsidRPr="00BE30AC" w:rsidRDefault="00056D69">
      <w:pPr>
        <w:pStyle w:val="StandardWeb"/>
        <w:rPr>
          <w:lang w:val="fr-FR"/>
        </w:rPr>
      </w:pPr>
      <w:r>
        <w:rPr>
          <w:rFonts w:ascii="Calibri" w:hAnsi="Calibri"/>
          <w:color w:val="FF0000"/>
          <w:lang w:val="fr-FR"/>
        </w:rPr>
        <w:t>EDF</w:t>
      </w:r>
      <w:r>
        <w:rPr>
          <w:rFonts w:ascii="Calibri" w:hAnsi="Calibri"/>
          <w:lang w:val="fr-FR"/>
        </w:rPr>
        <w:t xml:space="preserve"> n’a </w:t>
      </w:r>
      <w:r>
        <w:rPr>
          <w:rFonts w:ascii="Calibri" w:hAnsi="Calibri"/>
          <w:b/>
          <w:lang w:val="fr-FR"/>
        </w:rPr>
        <w:t>jamais lancé les travaux nécessaires au DUS</w:t>
      </w:r>
      <w:r>
        <w:rPr>
          <w:rFonts w:ascii="Calibri" w:hAnsi="Calibri"/>
          <w:lang w:val="fr-FR"/>
        </w:rPr>
        <w:t xml:space="preserve"> à </w:t>
      </w:r>
      <w:r>
        <w:rPr>
          <w:rFonts w:ascii="Calibri" w:hAnsi="Calibri"/>
          <w:color w:val="FF0000"/>
          <w:lang w:val="fr-FR"/>
        </w:rPr>
        <w:t>Fessenheim</w:t>
      </w:r>
      <w:r>
        <w:rPr>
          <w:rFonts w:ascii="Calibri" w:hAnsi="Calibri"/>
          <w:lang w:val="fr-FR"/>
        </w:rPr>
        <w:t xml:space="preserve"> (signifiant ainsi, dès l’an dernier, sa ré</w:t>
      </w:r>
      <w:r>
        <w:rPr>
          <w:rFonts w:ascii="Calibri" w:hAnsi="Calibri"/>
          <w:lang w:val="fr-FR"/>
        </w:rPr>
        <w:t xml:space="preserve">signation à la fermeture), mais dans le cas contraire, ils n’auraient de toute façon pas été achevés au 31 décembre 2018. Les chantiers sur </w:t>
      </w:r>
      <w:r>
        <w:rPr>
          <w:rFonts w:ascii="Calibri" w:hAnsi="Calibri"/>
          <w:b/>
          <w:lang w:val="fr-FR"/>
        </w:rPr>
        <w:t>les autres sites du parc</w:t>
      </w:r>
      <w:r>
        <w:rPr>
          <w:rFonts w:ascii="Calibri" w:hAnsi="Calibri"/>
          <w:lang w:val="fr-FR"/>
        </w:rPr>
        <w:t xml:space="preserve"> nucléaire français, soumis aux mêmes obligations, ont en effet </w:t>
      </w:r>
      <w:r>
        <w:rPr>
          <w:rFonts w:ascii="Calibri" w:hAnsi="Calibri"/>
          <w:b/>
          <w:lang w:val="fr-FR"/>
        </w:rPr>
        <w:t>tous pris un important retar</w:t>
      </w:r>
      <w:r>
        <w:rPr>
          <w:rFonts w:ascii="Calibri" w:hAnsi="Calibri"/>
          <w:b/>
          <w:lang w:val="fr-FR"/>
        </w:rPr>
        <w:t>d</w:t>
      </w:r>
      <w:r>
        <w:rPr>
          <w:rFonts w:ascii="Calibri" w:hAnsi="Calibri"/>
          <w:lang w:val="fr-FR"/>
        </w:rPr>
        <w:t xml:space="preserve">. « Les </w:t>
      </w:r>
      <w:r w:rsidRPr="00AD0EB0">
        <w:rPr>
          <w:rFonts w:ascii="Calibri" w:hAnsi="Calibri"/>
          <w:b/>
          <w:lang w:val="fr-FR"/>
        </w:rPr>
        <w:t>DUS sont des investissements importants</w:t>
      </w:r>
      <w:r>
        <w:rPr>
          <w:rFonts w:ascii="Calibri" w:hAnsi="Calibri"/>
          <w:lang w:val="fr-FR"/>
        </w:rPr>
        <w:t xml:space="preserve">, sur le plan financier mais aussi sur le plan technique. </w:t>
      </w:r>
      <w:r>
        <w:rPr>
          <w:rFonts w:ascii="Calibri" w:hAnsi="Calibri"/>
          <w:b/>
          <w:lang w:val="fr-FR"/>
        </w:rPr>
        <w:t>Il est vraisemblable que les tout derniers n’entreront en service que fin 2020</w:t>
      </w:r>
      <w:r>
        <w:rPr>
          <w:rFonts w:ascii="Calibri" w:hAnsi="Calibri"/>
          <w:lang w:val="fr-FR"/>
        </w:rPr>
        <w:t xml:space="preserve"> », indique </w:t>
      </w:r>
      <w:r>
        <w:rPr>
          <w:rFonts w:ascii="Calibri" w:hAnsi="Calibri"/>
          <w:color w:val="FF0000"/>
          <w:lang w:val="fr-FR"/>
        </w:rPr>
        <w:t>Pierre Bois</w:t>
      </w:r>
      <w:r>
        <w:rPr>
          <w:rFonts w:ascii="Calibri" w:hAnsi="Calibri"/>
          <w:lang w:val="fr-FR"/>
        </w:rPr>
        <w:t xml:space="preserve">. </w:t>
      </w:r>
      <w:r>
        <w:rPr>
          <w:rFonts w:ascii="Calibri" w:hAnsi="Calibri"/>
          <w:color w:val="FF0000"/>
          <w:lang w:val="fr-FR"/>
        </w:rPr>
        <w:t>L’ASN</w:t>
      </w:r>
      <w:r>
        <w:rPr>
          <w:rFonts w:ascii="Calibri" w:hAnsi="Calibri"/>
          <w:lang w:val="fr-FR"/>
        </w:rPr>
        <w:t xml:space="preserve"> prépare donc, pour le reste du parc aussi</w:t>
      </w:r>
      <w:r>
        <w:rPr>
          <w:rFonts w:ascii="Calibri" w:hAnsi="Calibri"/>
          <w:lang w:val="fr-FR"/>
        </w:rPr>
        <w:t xml:space="preserve">, une décision prenant acte des réalités : elle va </w:t>
      </w:r>
      <w:r>
        <w:rPr>
          <w:rFonts w:ascii="Calibri" w:hAnsi="Calibri"/>
          <w:b/>
          <w:lang w:val="fr-FR"/>
        </w:rPr>
        <w:t>accorder un nouveau délai aux 56 autres réacteurs</w:t>
      </w:r>
      <w:r>
        <w:rPr>
          <w:rFonts w:ascii="Calibri" w:hAnsi="Calibri"/>
          <w:lang w:val="fr-FR"/>
        </w:rPr>
        <w:t xml:space="preserve"> </w:t>
      </w:r>
      <w:r>
        <w:rPr>
          <w:rFonts w:ascii="Calibri" w:hAnsi="Calibri"/>
          <w:color w:val="FF0000"/>
          <w:lang w:val="fr-FR"/>
        </w:rPr>
        <w:t>d’EDF</w:t>
      </w:r>
      <w:r>
        <w:rPr>
          <w:rFonts w:ascii="Calibri" w:hAnsi="Calibri"/>
          <w:lang w:val="fr-FR"/>
        </w:rPr>
        <w:t>.</w:t>
      </w:r>
    </w:p>
    <w:p w:rsidR="00960232" w:rsidRPr="00BE30AC" w:rsidRDefault="00056D69">
      <w:pPr>
        <w:pStyle w:val="StandardWeb"/>
        <w:rPr>
          <w:lang w:val="fr-FR"/>
        </w:rPr>
      </w:pPr>
      <w:r>
        <w:rPr>
          <w:rFonts w:ascii="Calibri" w:hAnsi="Calibri"/>
          <w:lang w:val="fr-FR"/>
        </w:rPr>
        <w:t xml:space="preserve">En attendant l’entrée en service de ces DUS dans le reste du parc, et a fortiori à </w:t>
      </w:r>
      <w:r>
        <w:rPr>
          <w:rFonts w:ascii="Calibri" w:hAnsi="Calibri"/>
          <w:color w:val="FF0000"/>
          <w:lang w:val="fr-FR"/>
        </w:rPr>
        <w:t>Fessenheim</w:t>
      </w:r>
      <w:r>
        <w:rPr>
          <w:rFonts w:ascii="Calibri" w:hAnsi="Calibri"/>
          <w:lang w:val="fr-FR"/>
        </w:rPr>
        <w:t xml:space="preserve"> </w:t>
      </w:r>
      <w:r>
        <w:rPr>
          <w:rFonts w:ascii="Calibri" w:hAnsi="Calibri"/>
          <w:b/>
          <w:lang w:val="fr-FR"/>
        </w:rPr>
        <w:t>où ces DUS ne seront jamais mis en place</w:t>
      </w:r>
      <w:r>
        <w:rPr>
          <w:rFonts w:ascii="Calibri" w:hAnsi="Calibri"/>
          <w:lang w:val="fr-FR"/>
        </w:rPr>
        <w:t xml:space="preserve">, </w:t>
      </w:r>
      <w:r>
        <w:rPr>
          <w:rFonts w:ascii="Calibri" w:hAnsi="Calibri"/>
          <w:color w:val="FF0000"/>
          <w:lang w:val="fr-FR"/>
        </w:rPr>
        <w:t>l’ASN</w:t>
      </w:r>
      <w:r>
        <w:rPr>
          <w:rFonts w:ascii="Calibri" w:hAnsi="Calibri"/>
          <w:lang w:val="fr-FR"/>
        </w:rPr>
        <w:t xml:space="preserve"> demand</w:t>
      </w:r>
      <w:r>
        <w:rPr>
          <w:rFonts w:ascii="Calibri" w:hAnsi="Calibri"/>
          <w:lang w:val="fr-FR"/>
        </w:rPr>
        <w:t xml:space="preserve">e à </w:t>
      </w:r>
      <w:r w:rsidRPr="00AD0EB0">
        <w:rPr>
          <w:rFonts w:ascii="Calibri" w:hAnsi="Calibri"/>
          <w:color w:val="FF0000"/>
          <w:lang w:val="fr-FR"/>
        </w:rPr>
        <w:t>l’exploitant</w:t>
      </w:r>
      <w:r>
        <w:rPr>
          <w:rFonts w:ascii="Calibri" w:hAnsi="Calibri"/>
          <w:lang w:val="fr-FR"/>
        </w:rPr>
        <w:t xml:space="preserve"> de </w:t>
      </w:r>
      <w:r>
        <w:rPr>
          <w:rFonts w:ascii="Calibri" w:hAnsi="Calibri"/>
          <w:b/>
          <w:lang w:val="fr-FR"/>
        </w:rPr>
        <w:t>renforcer la « fiabilité » de ses sources électriques.</w:t>
      </w:r>
    </w:p>
    <w:p w:rsidR="00960232" w:rsidRPr="00BE30AC" w:rsidRDefault="00056D69">
      <w:pPr>
        <w:pStyle w:val="StandardWeb"/>
        <w:rPr>
          <w:lang w:val="fr-FR"/>
        </w:rPr>
      </w:pPr>
      <w:r>
        <w:rPr>
          <w:rFonts w:ascii="Calibri" w:hAnsi="Calibri"/>
          <w:lang w:val="fr-FR"/>
        </w:rPr>
        <w:t>« De nouvelles prescriptions apparaissent, qui amènent des bénéfices en matière de sûreté à relativement court terme, utiles dans la perspective d’une exploitation sur quelques anné</w:t>
      </w:r>
      <w:r>
        <w:rPr>
          <w:rFonts w:ascii="Calibri" w:hAnsi="Calibri"/>
          <w:lang w:val="fr-FR"/>
        </w:rPr>
        <w:t xml:space="preserve">es encore, puis dans une </w:t>
      </w:r>
      <w:r>
        <w:rPr>
          <w:rFonts w:ascii="Calibri" w:hAnsi="Calibri"/>
          <w:b/>
          <w:lang w:val="fr-FR"/>
        </w:rPr>
        <w:t>configuration « site à l’arrêt</w:t>
      </w:r>
      <w:r>
        <w:rPr>
          <w:rFonts w:ascii="Calibri" w:hAnsi="Calibri"/>
          <w:lang w:val="fr-FR"/>
        </w:rPr>
        <w:t xml:space="preserve"> », avec du </w:t>
      </w:r>
      <w:r>
        <w:rPr>
          <w:rFonts w:ascii="Calibri" w:hAnsi="Calibri"/>
          <w:b/>
          <w:lang w:val="fr-FR"/>
        </w:rPr>
        <w:t>combustible toujours présent</w:t>
      </w:r>
      <w:r>
        <w:rPr>
          <w:rFonts w:ascii="Calibri" w:hAnsi="Calibri"/>
          <w:lang w:val="fr-FR"/>
        </w:rPr>
        <w:t xml:space="preserve">, et, à plus long terme, dans la </w:t>
      </w:r>
      <w:r>
        <w:rPr>
          <w:rFonts w:ascii="Calibri" w:hAnsi="Calibri"/>
          <w:b/>
          <w:lang w:val="fr-FR"/>
        </w:rPr>
        <w:t>configuration « site en démantèlement</w:t>
      </w:r>
      <w:r>
        <w:rPr>
          <w:rFonts w:ascii="Calibri" w:hAnsi="Calibri"/>
          <w:lang w:val="fr-FR"/>
        </w:rPr>
        <w:t xml:space="preserve"> ». Il s’agit donc davantage d’une adaptation, en aucun cas d’un renoncement », insiste </w:t>
      </w:r>
      <w:r>
        <w:rPr>
          <w:rFonts w:ascii="Calibri" w:hAnsi="Calibri"/>
          <w:color w:val="FF0000"/>
          <w:lang w:val="fr-FR"/>
        </w:rPr>
        <w:t>Pierre Bois</w:t>
      </w:r>
      <w:r>
        <w:rPr>
          <w:rFonts w:ascii="Calibri" w:hAnsi="Calibri"/>
          <w:lang w:val="fr-FR"/>
        </w:rPr>
        <w:t>.</w:t>
      </w:r>
    </w:p>
    <w:p w:rsidR="00960232" w:rsidRDefault="00056D69">
      <w:pPr>
        <w:pStyle w:val="StandardWeb"/>
        <w:rPr>
          <w:rFonts w:ascii="Calibri" w:hAnsi="Calibri"/>
          <w:lang w:val="fr-FR"/>
        </w:rPr>
      </w:pPr>
      <w:r>
        <w:rPr>
          <w:rFonts w:ascii="Calibri" w:hAnsi="Calibri"/>
          <w:lang w:val="fr-FR"/>
        </w:rPr>
        <w:t xml:space="preserve">Dans la même logique de prise en compte d’échéances désormais clarifiées, </w:t>
      </w:r>
      <w:r>
        <w:rPr>
          <w:rFonts w:ascii="Calibri" w:hAnsi="Calibri"/>
          <w:color w:val="FF0000"/>
          <w:lang w:val="fr-FR"/>
        </w:rPr>
        <w:t>l’ASN</w:t>
      </w:r>
      <w:r>
        <w:rPr>
          <w:rFonts w:ascii="Calibri" w:hAnsi="Calibri"/>
          <w:lang w:val="fr-FR"/>
        </w:rPr>
        <w:t xml:space="preserve"> a rappelé à </w:t>
      </w:r>
      <w:r>
        <w:rPr>
          <w:rFonts w:ascii="Calibri" w:hAnsi="Calibri"/>
          <w:color w:val="FF0000"/>
          <w:lang w:val="fr-FR"/>
        </w:rPr>
        <w:t>EDF</w:t>
      </w:r>
      <w:r>
        <w:rPr>
          <w:rFonts w:ascii="Calibri" w:hAnsi="Calibri"/>
          <w:lang w:val="fr-FR"/>
        </w:rPr>
        <w:t xml:space="preserve">, dans un courrier daté du 19 octobre, que </w:t>
      </w:r>
      <w:r>
        <w:rPr>
          <w:rFonts w:ascii="Calibri" w:hAnsi="Calibri"/>
          <w:color w:val="FF0000"/>
          <w:lang w:val="fr-FR"/>
        </w:rPr>
        <w:t>l’exploitant</w:t>
      </w:r>
      <w:r>
        <w:rPr>
          <w:rFonts w:ascii="Calibri" w:hAnsi="Calibri"/>
          <w:lang w:val="fr-FR"/>
        </w:rPr>
        <w:t xml:space="preserve"> doit désormais lui </w:t>
      </w:r>
      <w:r>
        <w:rPr>
          <w:rFonts w:ascii="Calibri" w:hAnsi="Calibri"/>
          <w:b/>
          <w:lang w:val="fr-FR"/>
        </w:rPr>
        <w:t>transmettre une déclaration d’arrêt définitif des deux réacteurs alsaciens</w:t>
      </w:r>
      <w:r>
        <w:rPr>
          <w:rFonts w:ascii="Calibri" w:hAnsi="Calibri"/>
          <w:lang w:val="fr-FR"/>
        </w:rPr>
        <w:t xml:space="preserve">. « Aujourd’hui, il n’y a quasiment plus d’incertitudes sur la mise à l’arrêt de </w:t>
      </w:r>
      <w:r>
        <w:rPr>
          <w:rFonts w:ascii="Calibri" w:hAnsi="Calibri"/>
          <w:color w:val="FF0000"/>
          <w:lang w:val="fr-FR"/>
        </w:rPr>
        <w:t>Fessenheim</w:t>
      </w:r>
      <w:r>
        <w:rPr>
          <w:rFonts w:ascii="Calibri" w:hAnsi="Calibri"/>
          <w:lang w:val="fr-FR"/>
        </w:rPr>
        <w:t xml:space="preserve"> : il </w:t>
      </w:r>
      <w:r>
        <w:rPr>
          <w:rFonts w:ascii="Calibri" w:hAnsi="Calibri"/>
          <w:b/>
          <w:lang w:val="fr-FR"/>
        </w:rPr>
        <w:t>serait donc normal</w:t>
      </w:r>
      <w:r>
        <w:rPr>
          <w:rFonts w:ascii="Calibri" w:hAnsi="Calibri"/>
          <w:lang w:val="fr-FR"/>
        </w:rPr>
        <w:t xml:space="preserve"> </w:t>
      </w:r>
      <w:r>
        <w:rPr>
          <w:rFonts w:ascii="Calibri" w:hAnsi="Calibri"/>
          <w:color w:val="FF0000"/>
          <w:lang w:val="fr-FR"/>
        </w:rPr>
        <w:t>qu’EDF</w:t>
      </w:r>
      <w:r>
        <w:rPr>
          <w:rFonts w:ascii="Calibri" w:hAnsi="Calibri"/>
          <w:lang w:val="fr-FR"/>
        </w:rPr>
        <w:t xml:space="preserve"> procède, le plus rapidement possible, à cette déclaration, le véritable acte qui l’engage », souligne </w:t>
      </w:r>
      <w:r>
        <w:rPr>
          <w:rFonts w:ascii="Calibri" w:hAnsi="Calibri"/>
          <w:color w:val="FF0000"/>
          <w:lang w:val="fr-FR"/>
        </w:rPr>
        <w:t>Pierre Bois</w:t>
      </w:r>
      <w:r>
        <w:rPr>
          <w:rFonts w:ascii="Calibri" w:hAnsi="Calibri"/>
          <w:lang w:val="fr-FR"/>
        </w:rPr>
        <w:t>.</w:t>
      </w:r>
    </w:p>
    <w:p w:rsidR="00BE30AC" w:rsidRPr="00BE30AC" w:rsidRDefault="00BE30AC">
      <w:pPr>
        <w:pStyle w:val="StandardWeb"/>
        <w:rPr>
          <w:lang w:val="fr-FR"/>
        </w:rPr>
      </w:pPr>
    </w:p>
    <w:p w:rsidR="00960232" w:rsidRPr="00BE30AC" w:rsidRDefault="00056D69" w:rsidP="00BE30AC">
      <w:pPr>
        <w:pStyle w:val="StandardWeb"/>
        <w:rPr>
          <w:rFonts w:asciiTheme="minorHAnsi" w:hAnsiTheme="minorHAnsi"/>
          <w:color w:val="0070C0"/>
          <w:sz w:val="20"/>
          <w:szCs w:val="20"/>
          <w:u w:val="single"/>
        </w:rPr>
      </w:pPr>
      <w:hyperlink r:id="rId10" w:history="1">
        <w:r w:rsidRPr="00BE30AC">
          <w:rPr>
            <w:rFonts w:asciiTheme="minorHAnsi" w:hAnsiTheme="minorHAnsi"/>
            <w:color w:val="0070C0"/>
            <w:sz w:val="20"/>
            <w:szCs w:val="20"/>
            <w:u w:val="single"/>
            <w:lang w:val="fr-FR"/>
          </w:rPr>
          <w:t>https://c.dna.fr/en</w:t>
        </w:r>
        <w:r w:rsidRPr="00BE30AC">
          <w:rPr>
            <w:rFonts w:asciiTheme="minorHAnsi" w:hAnsiTheme="minorHAnsi"/>
            <w:color w:val="0070C0"/>
            <w:sz w:val="20"/>
            <w:szCs w:val="20"/>
            <w:u w:val="single"/>
            <w:lang w:val="fr-FR"/>
          </w:rPr>
          <w:t>vironnement/2018/11/08/une-consultation-tres-discrete</w:t>
        </w:r>
      </w:hyperlink>
    </w:p>
    <w:p w:rsidR="00960232" w:rsidRPr="00BE30AC" w:rsidRDefault="00056D69" w:rsidP="00BE30AC">
      <w:pPr>
        <w:pStyle w:val="StandardWeb"/>
        <w:rPr>
          <w:rFonts w:asciiTheme="minorHAnsi" w:hAnsiTheme="minorHAnsi"/>
          <w:color w:val="0070C0"/>
          <w:sz w:val="20"/>
          <w:szCs w:val="20"/>
          <w:u w:val="single"/>
          <w:lang w:val="fr-FR"/>
        </w:rPr>
      </w:pPr>
      <w:hyperlink r:id="rId11" w:history="1">
        <w:r w:rsidRPr="00BE30AC">
          <w:rPr>
            <w:rFonts w:asciiTheme="minorHAnsi" w:hAnsiTheme="minorHAnsi"/>
            <w:color w:val="0070C0"/>
            <w:sz w:val="20"/>
            <w:szCs w:val="20"/>
            <w:u w:val="single"/>
            <w:lang w:val="fr-FR"/>
          </w:rPr>
          <w:t>https://www.lalsace.fr/actualite/2018/11/08/une-consultation-tres-discrete</w:t>
        </w:r>
      </w:hyperlink>
    </w:p>
    <w:p w:rsidR="00960232" w:rsidRPr="00BE30AC" w:rsidRDefault="00056D69">
      <w:pPr>
        <w:pStyle w:val="berschrift1"/>
        <w:rPr>
          <w:rFonts w:ascii="Calibri" w:hAnsi="Calibri"/>
          <w:color w:val="212121"/>
          <w:sz w:val="36"/>
          <w:szCs w:val="36"/>
          <w:lang w:val="fr-FR"/>
        </w:rPr>
      </w:pPr>
      <w:r w:rsidRPr="00BE30AC">
        <w:rPr>
          <w:rFonts w:ascii="Calibri" w:hAnsi="Calibri"/>
          <w:color w:val="212121"/>
          <w:sz w:val="36"/>
          <w:szCs w:val="36"/>
          <w:lang w:val="fr-FR"/>
        </w:rPr>
        <w:t>Une consultation très discrète</w:t>
      </w:r>
    </w:p>
    <w:p w:rsidR="00000000" w:rsidRPr="00BE30AC" w:rsidRDefault="00056D69">
      <w:pPr>
        <w:rPr>
          <w:b/>
          <w:sz w:val="36"/>
          <w:szCs w:val="36"/>
          <w:lang w:val="fr-FR"/>
        </w:rPr>
        <w:sectPr w:rsidR="00000000" w:rsidRPr="00BE30AC">
          <w:pgSz w:w="11906" w:h="16838"/>
          <w:pgMar w:top="1417" w:right="1417" w:bottom="1134" w:left="1417" w:header="720" w:footer="720" w:gutter="0"/>
          <w:cols w:space="720"/>
        </w:sectPr>
      </w:pPr>
    </w:p>
    <w:p w:rsidR="00960232" w:rsidRPr="00BE30AC" w:rsidRDefault="00056D69" w:rsidP="00BE30AC">
      <w:pPr>
        <w:pStyle w:val="Textbody"/>
        <w:spacing w:before="150" w:after="150" w:line="240" w:lineRule="auto"/>
        <w:jc w:val="both"/>
        <w:rPr>
          <w:sz w:val="24"/>
          <w:szCs w:val="24"/>
          <w:lang w:val="fr-FR"/>
        </w:rPr>
      </w:pPr>
      <w:r w:rsidRPr="005546D8">
        <w:rPr>
          <w:b/>
          <w:sz w:val="24"/>
          <w:szCs w:val="24"/>
          <w:lang w:val="fr-FR"/>
        </w:rPr>
        <w:lastRenderedPageBreak/>
        <w:t>L</w:t>
      </w:r>
      <w:r w:rsidRPr="005546D8">
        <w:rPr>
          <w:b/>
          <w:sz w:val="24"/>
          <w:szCs w:val="24"/>
          <w:lang w:val="fr-FR"/>
        </w:rPr>
        <w:t>’alerte des</w:t>
      </w:r>
      <w:r w:rsidRPr="00BE30AC">
        <w:rPr>
          <w:sz w:val="24"/>
          <w:szCs w:val="24"/>
          <w:lang w:val="fr-FR"/>
        </w:rPr>
        <w:t xml:space="preserve"> </w:t>
      </w:r>
      <w:r w:rsidRPr="005546D8">
        <w:rPr>
          <w:color w:val="FF0000"/>
          <w:sz w:val="24"/>
          <w:szCs w:val="24"/>
          <w:lang w:val="fr-FR"/>
        </w:rPr>
        <w:t>antinucléaires</w:t>
      </w:r>
      <w:r w:rsidRPr="00BE30AC">
        <w:rPr>
          <w:sz w:val="24"/>
          <w:szCs w:val="24"/>
          <w:lang w:val="fr-FR"/>
        </w:rPr>
        <w:t xml:space="preserve"> a suscité un trouble d’autant plus grand qu’elle révélait une </w:t>
      </w:r>
      <w:r w:rsidRPr="005546D8">
        <w:rPr>
          <w:b/>
          <w:sz w:val="24"/>
          <w:szCs w:val="24"/>
          <w:lang w:val="fr-FR"/>
        </w:rPr>
        <w:t>consultation du public</w:t>
      </w:r>
      <w:r w:rsidRPr="00BE30AC">
        <w:rPr>
          <w:sz w:val="24"/>
          <w:szCs w:val="24"/>
          <w:lang w:val="fr-FR"/>
        </w:rPr>
        <w:t xml:space="preserve">, ouverte sur le </w:t>
      </w:r>
      <w:r w:rsidRPr="005546D8">
        <w:rPr>
          <w:b/>
          <w:sz w:val="24"/>
          <w:szCs w:val="24"/>
          <w:lang w:val="fr-FR"/>
        </w:rPr>
        <w:t>site internet de</w:t>
      </w:r>
      <w:r w:rsidRPr="00BE30AC">
        <w:rPr>
          <w:sz w:val="24"/>
          <w:szCs w:val="24"/>
          <w:lang w:val="fr-FR"/>
        </w:rPr>
        <w:t xml:space="preserve"> </w:t>
      </w:r>
      <w:r w:rsidRPr="00BE30AC">
        <w:rPr>
          <w:color w:val="FF0000"/>
          <w:sz w:val="24"/>
          <w:szCs w:val="24"/>
          <w:lang w:val="fr-FR"/>
        </w:rPr>
        <w:t>l’ASN</w:t>
      </w:r>
      <w:r w:rsidRPr="00BE30AC">
        <w:rPr>
          <w:sz w:val="24"/>
          <w:szCs w:val="24"/>
          <w:lang w:val="fr-FR"/>
        </w:rPr>
        <w:t xml:space="preserve"> </w:t>
      </w:r>
      <w:r w:rsidRPr="005546D8">
        <w:rPr>
          <w:b/>
          <w:sz w:val="24"/>
          <w:szCs w:val="24"/>
          <w:lang w:val="fr-FR"/>
        </w:rPr>
        <w:t>le 22 octobre, pour seulement quinze jours, sans en avertir les médias</w:t>
      </w:r>
      <w:r w:rsidRPr="00BE30AC">
        <w:rPr>
          <w:sz w:val="24"/>
          <w:szCs w:val="24"/>
          <w:lang w:val="fr-FR"/>
        </w:rPr>
        <w:t xml:space="preserve">, malgré le caractère sensible des </w:t>
      </w:r>
      <w:r w:rsidRPr="00BE30AC">
        <w:rPr>
          <w:sz w:val="24"/>
          <w:szCs w:val="24"/>
          <w:lang w:val="fr-FR"/>
        </w:rPr>
        <w:t xml:space="preserve">informations sur la centrale de </w:t>
      </w:r>
      <w:r w:rsidRPr="00BE30AC">
        <w:rPr>
          <w:color w:val="FF0000"/>
          <w:sz w:val="24"/>
          <w:szCs w:val="24"/>
          <w:lang w:val="fr-FR"/>
        </w:rPr>
        <w:t>Fessenheim</w:t>
      </w:r>
      <w:r w:rsidRPr="00BE30AC">
        <w:rPr>
          <w:sz w:val="24"/>
          <w:szCs w:val="24"/>
          <w:lang w:val="fr-FR"/>
        </w:rPr>
        <w:t xml:space="preserve"> et le </w:t>
      </w:r>
      <w:r w:rsidRPr="005546D8">
        <w:rPr>
          <w:b/>
          <w:sz w:val="24"/>
          <w:szCs w:val="24"/>
          <w:lang w:val="fr-FR"/>
        </w:rPr>
        <w:t>discours habituel de l’autorité sur son devoir de transparence</w:t>
      </w:r>
      <w:r w:rsidRPr="00BE30AC">
        <w:rPr>
          <w:sz w:val="24"/>
          <w:szCs w:val="24"/>
          <w:lang w:val="fr-FR"/>
        </w:rPr>
        <w:t xml:space="preserve">. « Nous tenons à développer l’implication citoyenne dans le processus de décision, répète d’ailleurs encore </w:t>
      </w:r>
      <w:r w:rsidRPr="00BE30AC">
        <w:rPr>
          <w:color w:val="FF0000"/>
          <w:sz w:val="24"/>
          <w:szCs w:val="24"/>
          <w:lang w:val="fr-FR"/>
        </w:rPr>
        <w:t>Pierre Bois</w:t>
      </w:r>
      <w:r w:rsidRPr="00BE30AC">
        <w:rPr>
          <w:sz w:val="24"/>
          <w:szCs w:val="24"/>
          <w:lang w:val="fr-FR"/>
        </w:rPr>
        <w:t xml:space="preserve">, le chef de la division </w:t>
      </w:r>
      <w:r w:rsidRPr="00BE30AC">
        <w:rPr>
          <w:sz w:val="24"/>
          <w:szCs w:val="24"/>
          <w:lang w:val="fr-FR"/>
        </w:rPr>
        <w:t xml:space="preserve">de </w:t>
      </w:r>
      <w:r w:rsidRPr="00BE30AC">
        <w:rPr>
          <w:color w:val="FF0000"/>
          <w:sz w:val="24"/>
          <w:szCs w:val="24"/>
          <w:lang w:val="fr-FR"/>
        </w:rPr>
        <w:t>Strasbourg</w:t>
      </w:r>
      <w:r w:rsidRPr="00BE30AC">
        <w:rPr>
          <w:sz w:val="24"/>
          <w:szCs w:val="24"/>
          <w:lang w:val="fr-FR"/>
        </w:rPr>
        <w:t xml:space="preserve">. Mais </w:t>
      </w:r>
      <w:r w:rsidRPr="00BE30AC">
        <w:rPr>
          <w:color w:val="FF0000"/>
          <w:sz w:val="24"/>
          <w:szCs w:val="24"/>
          <w:lang w:val="fr-FR"/>
        </w:rPr>
        <w:t>l’ASN</w:t>
      </w:r>
      <w:r w:rsidRPr="00BE30AC">
        <w:rPr>
          <w:sz w:val="24"/>
          <w:szCs w:val="24"/>
          <w:lang w:val="fr-FR"/>
        </w:rPr>
        <w:t xml:space="preserve"> diffuse très peu de communiqués de presse, afin de ne pas noyer ses informations dans un flux massif, entre les avis de redémarrage, les dossiers pédagogiques, les avis d’incidents… Ce serait contreproductif. On s’attend à ce que </w:t>
      </w:r>
      <w:r w:rsidRPr="00BE30AC">
        <w:rPr>
          <w:sz w:val="24"/>
          <w:szCs w:val="24"/>
          <w:lang w:val="fr-FR"/>
        </w:rPr>
        <w:t xml:space="preserve">les citoyens intéressés par ces sujets soient alertés directement, et nous avons informé tous les membres de la </w:t>
      </w:r>
      <w:proofErr w:type="spellStart"/>
      <w:r w:rsidRPr="00BE30AC">
        <w:rPr>
          <w:color w:val="FF0000"/>
          <w:sz w:val="24"/>
          <w:szCs w:val="24"/>
          <w:lang w:val="fr-FR"/>
        </w:rPr>
        <w:t>Clis</w:t>
      </w:r>
      <w:proofErr w:type="spellEnd"/>
      <w:r w:rsidRPr="00BE30AC">
        <w:rPr>
          <w:sz w:val="24"/>
          <w:szCs w:val="24"/>
          <w:lang w:val="fr-FR"/>
        </w:rPr>
        <w:t xml:space="preserve"> (commission locale d’information et de surveillance). »</w:t>
      </w:r>
    </w:p>
    <w:p w:rsidR="00960232" w:rsidRPr="00BE30AC" w:rsidRDefault="00056D69" w:rsidP="00BB3492">
      <w:pPr>
        <w:pStyle w:val="Textbody"/>
        <w:spacing w:before="150" w:after="150" w:line="240" w:lineRule="auto"/>
        <w:jc w:val="both"/>
        <w:rPr>
          <w:color w:val="212121"/>
          <w:sz w:val="24"/>
          <w:szCs w:val="24"/>
          <w:lang w:val="fr-FR"/>
        </w:rPr>
      </w:pPr>
      <w:r w:rsidRPr="00BE30AC">
        <w:rPr>
          <w:color w:val="212121"/>
          <w:sz w:val="24"/>
          <w:szCs w:val="24"/>
          <w:lang w:val="fr-FR"/>
        </w:rPr>
        <w:t>De fait, la plupart de ceux qui ont participé à la consultation semblent appartenir</w:t>
      </w:r>
      <w:r w:rsidRPr="00BE30AC">
        <w:rPr>
          <w:color w:val="212121"/>
          <w:sz w:val="24"/>
          <w:szCs w:val="24"/>
          <w:lang w:val="fr-FR"/>
        </w:rPr>
        <w:t xml:space="preserve"> au petit cercle militant habituel. Sur la </w:t>
      </w:r>
      <w:bookmarkStart w:id="0" w:name="_GoBack"/>
      <w:r w:rsidRPr="000E2D23">
        <w:rPr>
          <w:b/>
          <w:color w:val="212121"/>
          <w:sz w:val="24"/>
          <w:szCs w:val="24"/>
          <w:lang w:val="fr-FR"/>
        </w:rPr>
        <w:t>centaine de contributions déposées</w:t>
      </w:r>
      <w:bookmarkEnd w:id="0"/>
      <w:r w:rsidRPr="00BE30AC">
        <w:rPr>
          <w:color w:val="212121"/>
          <w:sz w:val="24"/>
          <w:szCs w:val="24"/>
          <w:lang w:val="fr-FR"/>
        </w:rPr>
        <w:t>, les premières dénoncent le « gâchis » que représente la fermeture anticipée, sur décision « politique », et considèrent inutile de dépenser encore de l’argent pour le temps de f</w:t>
      </w:r>
      <w:r w:rsidRPr="00BE30AC">
        <w:rPr>
          <w:color w:val="212121"/>
          <w:sz w:val="24"/>
          <w:szCs w:val="24"/>
          <w:lang w:val="fr-FR"/>
        </w:rPr>
        <w:t xml:space="preserve">onctionnement restant. Après l’alerte des antinucléaires, eux-mêmes présents sur le site de </w:t>
      </w:r>
      <w:r w:rsidRPr="00BB3492">
        <w:rPr>
          <w:color w:val="FF0000"/>
          <w:sz w:val="24"/>
          <w:szCs w:val="24"/>
          <w:lang w:val="fr-FR"/>
        </w:rPr>
        <w:t>l’ASN</w:t>
      </w:r>
      <w:r w:rsidRPr="00BE30AC">
        <w:rPr>
          <w:color w:val="212121"/>
          <w:sz w:val="24"/>
          <w:szCs w:val="24"/>
          <w:lang w:val="fr-FR"/>
        </w:rPr>
        <w:t>, le 1er   novembre, on constate une déferlante de commentaires hostiles au projet de décision et réclamant la fermeture de la centrale le 31 décembre prochain</w:t>
      </w:r>
      <w:r w:rsidRPr="00BE30AC">
        <w:rPr>
          <w:color w:val="212121"/>
          <w:sz w:val="24"/>
          <w:szCs w:val="24"/>
          <w:lang w:val="fr-FR"/>
        </w:rPr>
        <w:t>…</w:t>
      </w:r>
    </w:p>
    <w:p w:rsidR="00960232" w:rsidRPr="00BE30AC" w:rsidRDefault="00056D69" w:rsidP="00BE30AC">
      <w:pPr>
        <w:pStyle w:val="Textbody"/>
        <w:spacing w:before="150" w:after="150" w:line="240" w:lineRule="auto"/>
        <w:jc w:val="both"/>
        <w:rPr>
          <w:color w:val="212121"/>
          <w:sz w:val="24"/>
          <w:szCs w:val="24"/>
          <w:lang w:val="fr-FR"/>
        </w:rPr>
      </w:pPr>
      <w:r w:rsidRPr="00BB3492">
        <w:rPr>
          <w:color w:val="FF0000"/>
          <w:sz w:val="24"/>
          <w:szCs w:val="24"/>
          <w:lang w:val="fr-FR"/>
        </w:rPr>
        <w:t>Pierre Bois</w:t>
      </w:r>
      <w:r w:rsidRPr="00BE30AC">
        <w:rPr>
          <w:color w:val="212121"/>
          <w:sz w:val="24"/>
          <w:szCs w:val="24"/>
          <w:lang w:val="fr-FR"/>
        </w:rPr>
        <w:t xml:space="preserve"> rappelle que </w:t>
      </w:r>
      <w:r w:rsidRPr="005546D8">
        <w:rPr>
          <w:b/>
          <w:color w:val="212121"/>
          <w:sz w:val="24"/>
          <w:szCs w:val="24"/>
          <w:lang w:val="fr-FR"/>
        </w:rPr>
        <w:t>ce genre de consultation n’est pas obligatoire</w:t>
      </w:r>
      <w:r w:rsidRPr="00BE30AC">
        <w:rPr>
          <w:color w:val="212121"/>
          <w:sz w:val="24"/>
          <w:szCs w:val="24"/>
          <w:lang w:val="fr-FR"/>
        </w:rPr>
        <w:t xml:space="preserve">. « Mais </w:t>
      </w:r>
      <w:r w:rsidRPr="00BB3492">
        <w:rPr>
          <w:color w:val="FF0000"/>
          <w:sz w:val="24"/>
          <w:szCs w:val="24"/>
          <w:lang w:val="fr-FR"/>
        </w:rPr>
        <w:t>l’ASN</w:t>
      </w:r>
      <w:r w:rsidRPr="00BE30AC">
        <w:rPr>
          <w:color w:val="212121"/>
          <w:sz w:val="24"/>
          <w:szCs w:val="24"/>
          <w:lang w:val="fr-FR"/>
        </w:rPr>
        <w:t xml:space="preserve"> en fait régulièrement, pour toutes les décisions qui lui paraissent revêtir une importance particulière. Un bilan est toujours réalisé et accompagne systématiquement la</w:t>
      </w:r>
      <w:r w:rsidRPr="00BE30AC">
        <w:rPr>
          <w:color w:val="212121"/>
          <w:sz w:val="24"/>
          <w:szCs w:val="24"/>
          <w:lang w:val="fr-FR"/>
        </w:rPr>
        <w:t xml:space="preserve"> décision finale. » Les avis de la population n’ont sans doute jamais remis en question un projet de décision, mais </w:t>
      </w:r>
      <w:r w:rsidRPr="00BB3492">
        <w:rPr>
          <w:color w:val="FF0000"/>
          <w:sz w:val="24"/>
          <w:szCs w:val="24"/>
          <w:lang w:val="fr-FR"/>
        </w:rPr>
        <w:t>l’ASN</w:t>
      </w:r>
      <w:r w:rsidRPr="00BE30AC">
        <w:rPr>
          <w:color w:val="212121"/>
          <w:sz w:val="24"/>
          <w:szCs w:val="24"/>
          <w:lang w:val="fr-FR"/>
        </w:rPr>
        <w:t xml:space="preserve"> les prend en compte pour mieux rédiger ses explications, ses motivations juridiques ou techniques.</w:t>
      </w:r>
    </w:p>
    <w:p w:rsidR="00000000" w:rsidRPr="00BE30AC" w:rsidRDefault="00056D69" w:rsidP="00BE30AC">
      <w:pPr>
        <w:spacing w:line="240" w:lineRule="auto"/>
        <w:rPr>
          <w:sz w:val="24"/>
          <w:szCs w:val="24"/>
          <w:lang w:val="fr-FR"/>
        </w:rPr>
        <w:sectPr w:rsidR="00000000" w:rsidRPr="00BE30AC">
          <w:type w:val="continuous"/>
          <w:pgSz w:w="11906" w:h="16838"/>
          <w:pgMar w:top="1417" w:right="1417" w:bottom="1134" w:left="1417" w:header="720" w:footer="720" w:gutter="0"/>
          <w:cols w:space="0"/>
        </w:sectPr>
      </w:pPr>
    </w:p>
    <w:p w:rsidR="00960232" w:rsidRPr="00BE30AC" w:rsidRDefault="00960232" w:rsidP="00BE30AC">
      <w:pPr>
        <w:pStyle w:val="StandardWeb"/>
        <w:rPr>
          <w:lang w:val="fr-FR"/>
        </w:rPr>
      </w:pPr>
    </w:p>
    <w:p w:rsidR="00960232" w:rsidRPr="00BE30AC" w:rsidRDefault="00960232">
      <w:pPr>
        <w:rPr>
          <w:lang w:val="fr-FR"/>
        </w:rPr>
      </w:pPr>
    </w:p>
    <w:sectPr w:rsidR="00960232" w:rsidRPr="00BE30AC">
      <w:type w:val="continuous"/>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69" w:rsidRDefault="00056D69">
      <w:pPr>
        <w:spacing w:after="0" w:line="240" w:lineRule="auto"/>
      </w:pPr>
      <w:r>
        <w:separator/>
      </w:r>
    </w:p>
  </w:endnote>
  <w:endnote w:type="continuationSeparator" w:id="0">
    <w:p w:rsidR="00056D69" w:rsidRDefault="0005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69" w:rsidRDefault="00056D69">
      <w:pPr>
        <w:spacing w:after="0" w:line="240" w:lineRule="auto"/>
      </w:pPr>
      <w:r>
        <w:rPr>
          <w:color w:val="000000"/>
        </w:rPr>
        <w:separator/>
      </w:r>
    </w:p>
  </w:footnote>
  <w:footnote w:type="continuationSeparator" w:id="0">
    <w:p w:rsidR="00056D69" w:rsidRDefault="00056D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60232"/>
    <w:rsid w:val="00056D69"/>
    <w:rsid w:val="000E2D23"/>
    <w:rsid w:val="000F3EBA"/>
    <w:rsid w:val="005546D8"/>
    <w:rsid w:val="00960232"/>
    <w:rsid w:val="00AD0EB0"/>
    <w:rsid w:val="00BB3492"/>
    <w:rsid w:val="00BE30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style>
  <w:style w:type="paragraph" w:styleId="berschrift1">
    <w:name w:val="heading 1"/>
    <w:basedOn w:val="Standard"/>
    <w:next w:val="Textbody"/>
    <w:pPr>
      <w:spacing w:before="100" w:after="100" w:line="240" w:lineRule="auto"/>
      <w:outlineLvl w:val="0"/>
    </w:pPr>
    <w:rPr>
      <w:rFonts w:ascii="Times New Roman" w:eastAsia="Times New Roman" w:hAnsi="Times New Roman" w:cs="Times New Roman"/>
      <w:b/>
      <w:bCs/>
      <w:sz w:val="48"/>
      <w:szCs w:val="48"/>
      <w:lang w:eastAsia="de-DE"/>
    </w:rPr>
  </w:style>
  <w:style w:type="paragraph" w:styleId="berschrift2">
    <w:name w:val="heading 2"/>
    <w:basedOn w:val="Standard"/>
    <w:next w:val="Textbody"/>
    <w:pPr>
      <w:spacing w:before="100" w:after="100"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Textbody"/>
    <w:pPr>
      <w:keepNext/>
      <w:keepLines/>
      <w:spacing w:before="200" w:after="0"/>
      <w:outlineLvl w:val="3"/>
    </w:pPr>
    <w:rPr>
      <w:rFonts w:ascii="Cambria"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StandardWeb">
    <w:name w:val="Normal (Web)"/>
    <w:basedOn w:val="Standard"/>
    <w:pPr>
      <w:spacing w:before="100" w:after="100" w:line="240" w:lineRule="auto"/>
    </w:pPr>
    <w:rPr>
      <w:rFonts w:ascii="Times New Roman" w:eastAsia="Times New Roman" w:hAnsi="Times New Roman" w:cs="Times New Roman"/>
      <w:sz w:val="24"/>
      <w:szCs w:val="24"/>
      <w:lang w:eastAsia="de-DE"/>
    </w:rPr>
  </w:style>
  <w:style w:type="character" w:customStyle="1" w:styleId="Internetlink">
    <w:name w:val="Internet link"/>
    <w:basedOn w:val="Absatz-Standardschriftart"/>
    <w:rPr>
      <w:color w:val="0000FF"/>
      <w:u w:val="single"/>
    </w:rPr>
  </w:style>
  <w:style w:type="character" w:customStyle="1" w:styleId="author">
    <w:name w:val="author"/>
    <w:basedOn w:val="Absatz-Standardschriftart"/>
  </w:style>
  <w:style w:type="character" w:customStyle="1" w:styleId="berschrift1Zchn">
    <w:name w:val="Überschrift 1 Zchn"/>
    <w:basedOn w:val="Absatz-Standardschriftart"/>
    <w:rPr>
      <w:rFonts w:ascii="Times New Roman" w:eastAsia="Times New Roman" w:hAnsi="Times New Roman" w:cs="Times New Roman"/>
      <w:b/>
      <w:bCs/>
      <w:kern w:val="3"/>
      <w:sz w:val="48"/>
      <w:szCs w:val="48"/>
      <w:lang w:eastAsia="de-DE"/>
    </w:rPr>
  </w:style>
  <w:style w:type="character" w:customStyle="1" w:styleId="berschrift2Zchn">
    <w:name w:val="Überschrift 2 Zchn"/>
    <w:basedOn w:val="Absatz-Standardschriftart"/>
    <w:rPr>
      <w:rFonts w:ascii="Times New Roman" w:eastAsia="Times New Roman" w:hAnsi="Times New Roman" w:cs="Times New Roman"/>
      <w:b/>
      <w:bCs/>
      <w:sz w:val="36"/>
      <w:szCs w:val="36"/>
      <w:lang w:eastAsia="de-DE"/>
    </w:rPr>
  </w:style>
  <w:style w:type="character" w:customStyle="1" w:styleId="surtitre">
    <w:name w:val="surtitre"/>
    <w:basedOn w:val="Absatz-Standardschriftart"/>
  </w:style>
  <w:style w:type="character" w:customStyle="1" w:styleId="berschrift4Zchn">
    <w:name w:val="Überschrift 4 Zchn"/>
    <w:basedOn w:val="Absatz-Standardschriftart"/>
    <w:rPr>
      <w:rFonts w:ascii="Cambria" w:hAnsi="Cambria"/>
      <w:b/>
      <w:bCs/>
      <w:i/>
      <w:iCs/>
      <w:color w:val="4F81BD"/>
    </w:rPr>
  </w:style>
  <w:style w:type="character" w:customStyle="1" w:styleId="StrongEmphasis">
    <w:name w:val="Strong Emphasis"/>
    <w:basedOn w:val="Absatz-Standardschriftar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style>
  <w:style w:type="paragraph" w:styleId="berschrift1">
    <w:name w:val="heading 1"/>
    <w:basedOn w:val="Standard"/>
    <w:next w:val="Textbody"/>
    <w:pPr>
      <w:spacing w:before="100" w:after="100" w:line="240" w:lineRule="auto"/>
      <w:outlineLvl w:val="0"/>
    </w:pPr>
    <w:rPr>
      <w:rFonts w:ascii="Times New Roman" w:eastAsia="Times New Roman" w:hAnsi="Times New Roman" w:cs="Times New Roman"/>
      <w:b/>
      <w:bCs/>
      <w:sz w:val="48"/>
      <w:szCs w:val="48"/>
      <w:lang w:eastAsia="de-DE"/>
    </w:rPr>
  </w:style>
  <w:style w:type="paragraph" w:styleId="berschrift2">
    <w:name w:val="heading 2"/>
    <w:basedOn w:val="Standard"/>
    <w:next w:val="Textbody"/>
    <w:pPr>
      <w:spacing w:before="100" w:after="100"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Textbody"/>
    <w:pPr>
      <w:keepNext/>
      <w:keepLines/>
      <w:spacing w:before="200" w:after="0"/>
      <w:outlineLvl w:val="3"/>
    </w:pPr>
    <w:rPr>
      <w:rFonts w:ascii="Cambria"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StandardWeb">
    <w:name w:val="Normal (Web)"/>
    <w:basedOn w:val="Standard"/>
    <w:pPr>
      <w:spacing w:before="100" w:after="100" w:line="240" w:lineRule="auto"/>
    </w:pPr>
    <w:rPr>
      <w:rFonts w:ascii="Times New Roman" w:eastAsia="Times New Roman" w:hAnsi="Times New Roman" w:cs="Times New Roman"/>
      <w:sz w:val="24"/>
      <w:szCs w:val="24"/>
      <w:lang w:eastAsia="de-DE"/>
    </w:rPr>
  </w:style>
  <w:style w:type="character" w:customStyle="1" w:styleId="Internetlink">
    <w:name w:val="Internet link"/>
    <w:basedOn w:val="Absatz-Standardschriftart"/>
    <w:rPr>
      <w:color w:val="0000FF"/>
      <w:u w:val="single"/>
    </w:rPr>
  </w:style>
  <w:style w:type="character" w:customStyle="1" w:styleId="author">
    <w:name w:val="author"/>
    <w:basedOn w:val="Absatz-Standardschriftart"/>
  </w:style>
  <w:style w:type="character" w:customStyle="1" w:styleId="berschrift1Zchn">
    <w:name w:val="Überschrift 1 Zchn"/>
    <w:basedOn w:val="Absatz-Standardschriftart"/>
    <w:rPr>
      <w:rFonts w:ascii="Times New Roman" w:eastAsia="Times New Roman" w:hAnsi="Times New Roman" w:cs="Times New Roman"/>
      <w:b/>
      <w:bCs/>
      <w:kern w:val="3"/>
      <w:sz w:val="48"/>
      <w:szCs w:val="48"/>
      <w:lang w:eastAsia="de-DE"/>
    </w:rPr>
  </w:style>
  <w:style w:type="character" w:customStyle="1" w:styleId="berschrift2Zchn">
    <w:name w:val="Überschrift 2 Zchn"/>
    <w:basedOn w:val="Absatz-Standardschriftart"/>
    <w:rPr>
      <w:rFonts w:ascii="Times New Roman" w:eastAsia="Times New Roman" w:hAnsi="Times New Roman" w:cs="Times New Roman"/>
      <w:b/>
      <w:bCs/>
      <w:sz w:val="36"/>
      <w:szCs w:val="36"/>
      <w:lang w:eastAsia="de-DE"/>
    </w:rPr>
  </w:style>
  <w:style w:type="character" w:customStyle="1" w:styleId="surtitre">
    <w:name w:val="surtitre"/>
    <w:basedOn w:val="Absatz-Standardschriftart"/>
  </w:style>
  <w:style w:type="character" w:customStyle="1" w:styleId="berschrift4Zchn">
    <w:name w:val="Überschrift 4 Zchn"/>
    <w:basedOn w:val="Absatz-Standardschriftart"/>
    <w:rPr>
      <w:rFonts w:ascii="Cambria" w:hAnsi="Cambria"/>
      <w:b/>
      <w:bCs/>
      <w:i/>
      <w:iCs/>
      <w:color w:val="4F81BD"/>
    </w:rPr>
  </w:style>
  <w:style w:type="character" w:customStyle="1" w:styleId="StrongEmphasis">
    <w:name w:val="Strong Emphasis"/>
    <w:basedOn w:val="Absatz-Standardschriftar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dna.fr/environnement/2018/11/08/la-surete-maximale-jusqu-au-b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lalsace.fr/actualite/2018/11/08/une-consultation-tres-discrete" TargetMode="External"/><Relationship Id="rId5" Type="http://schemas.openxmlformats.org/officeDocument/2006/relationships/footnotes" Target="footnotes.xml"/><Relationship Id="rId10" Type="http://schemas.openxmlformats.org/officeDocument/2006/relationships/hyperlink" Target="https://c.dna.fr/environnement/2018/11/08/une-consultation-tres-discrete" TargetMode="External"/><Relationship Id="rId4" Type="http://schemas.openxmlformats.org/officeDocument/2006/relationships/webSettings" Target="webSettings.xml"/><Relationship Id="rId9" Type="http://schemas.openxmlformats.org/officeDocument/2006/relationships/hyperlink" Target="https://www.lalsace.fr/actualite/2018/11/08/la-surete-maximale-jusqu-au-bou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5932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2018-11-08T10:57:00Z</dcterms:created>
  <dcterms:modified xsi:type="dcterms:W3CDTF">2018-11-08T23:33:00Z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