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BD" w:rsidRDefault="003953BD" w:rsidP="00221C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3953BD">
        <w:rPr>
          <w:rFonts w:eastAsia="Times New Roman" w:cs="Times New Roman"/>
          <w:b/>
          <w:bCs/>
          <w:sz w:val="36"/>
          <w:szCs w:val="36"/>
          <w:lang w:eastAsia="de-DE"/>
        </w:rPr>
        <w:t xml:space="preserve">Schellenberger : Frage an </w:t>
      </w:r>
      <w:proofErr w:type="spellStart"/>
      <w:r w:rsidRPr="003953BD">
        <w:rPr>
          <w:rFonts w:eastAsia="Times New Roman" w:cs="Times New Roman"/>
          <w:b/>
          <w:bCs/>
          <w:sz w:val="36"/>
          <w:szCs w:val="36"/>
          <w:lang w:eastAsia="de-DE"/>
        </w:rPr>
        <w:t>Hulot</w:t>
      </w:r>
      <w:proofErr w:type="spellEnd"/>
      <w:r w:rsidRPr="003953BD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und Antwort</w:t>
      </w:r>
    </w:p>
    <w:p w:rsidR="003953BD" w:rsidRDefault="003953BD" w:rsidP="00221C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0"/>
          <w:szCs w:val="20"/>
          <w:lang w:eastAsia="de-DE"/>
        </w:rPr>
      </w:pPr>
      <w:r>
        <w:rPr>
          <w:rFonts w:eastAsia="Times New Roman" w:cs="Times New Roman"/>
          <w:bCs/>
          <w:sz w:val="20"/>
          <w:szCs w:val="20"/>
          <w:lang w:eastAsia="de-DE"/>
        </w:rPr>
        <w:fldChar w:fldCharType="begin"/>
      </w:r>
      <w:r>
        <w:rPr>
          <w:rFonts w:eastAsia="Times New Roman" w:cs="Times New Roman"/>
          <w:bCs/>
          <w:sz w:val="20"/>
          <w:szCs w:val="20"/>
          <w:lang w:eastAsia="de-DE"/>
        </w:rPr>
        <w:instrText xml:space="preserve"> HYPERLINK "</w:instrText>
      </w:r>
      <w:r w:rsidRPr="003953BD">
        <w:rPr>
          <w:rFonts w:eastAsia="Times New Roman" w:cs="Times New Roman"/>
          <w:bCs/>
          <w:sz w:val="20"/>
          <w:szCs w:val="20"/>
          <w:lang w:eastAsia="de-DE"/>
        </w:rPr>
        <w:instrText>https://www.nosdeputes.fr/15/question/QE/2477</w:instrText>
      </w:r>
      <w:r>
        <w:rPr>
          <w:rFonts w:eastAsia="Times New Roman" w:cs="Times New Roman"/>
          <w:bCs/>
          <w:sz w:val="20"/>
          <w:szCs w:val="20"/>
          <w:lang w:eastAsia="de-DE"/>
        </w:rPr>
        <w:instrText xml:space="preserve">" </w:instrText>
      </w:r>
      <w:r>
        <w:rPr>
          <w:rFonts w:eastAsia="Times New Roman" w:cs="Times New Roman"/>
          <w:bCs/>
          <w:sz w:val="20"/>
          <w:szCs w:val="20"/>
          <w:lang w:eastAsia="de-DE"/>
        </w:rPr>
        <w:fldChar w:fldCharType="separate"/>
      </w:r>
      <w:r w:rsidRPr="00C6454F">
        <w:rPr>
          <w:rStyle w:val="Hyperlink"/>
          <w:rFonts w:eastAsia="Times New Roman" w:cs="Times New Roman"/>
          <w:bCs/>
          <w:sz w:val="20"/>
          <w:szCs w:val="20"/>
          <w:lang w:eastAsia="de-DE"/>
        </w:rPr>
        <w:t>https://www.nosdeputes.fr/15/quest</w:t>
      </w:r>
      <w:bookmarkStart w:id="0" w:name="_GoBack"/>
      <w:bookmarkEnd w:id="0"/>
      <w:r w:rsidRPr="00C6454F">
        <w:rPr>
          <w:rStyle w:val="Hyperlink"/>
          <w:rFonts w:eastAsia="Times New Roman" w:cs="Times New Roman"/>
          <w:bCs/>
          <w:sz w:val="20"/>
          <w:szCs w:val="20"/>
          <w:lang w:eastAsia="de-DE"/>
        </w:rPr>
        <w:t>ion/QE/2477</w:t>
      </w:r>
      <w:r>
        <w:rPr>
          <w:rFonts w:eastAsia="Times New Roman" w:cs="Times New Roman"/>
          <w:bCs/>
          <w:sz w:val="20"/>
          <w:szCs w:val="20"/>
          <w:lang w:eastAsia="de-DE"/>
        </w:rPr>
        <w:fldChar w:fldCharType="end"/>
      </w:r>
    </w:p>
    <w:p w:rsidR="00221CD2" w:rsidRPr="00221CD2" w:rsidRDefault="00221CD2" w:rsidP="00221C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fr-FR" w:eastAsia="de-DE"/>
        </w:rPr>
      </w:pPr>
      <w:r w:rsidRPr="00221CD2">
        <w:rPr>
          <w:rFonts w:eastAsia="Times New Roman" w:cs="Times New Roman"/>
          <w:b/>
          <w:bCs/>
          <w:sz w:val="36"/>
          <w:szCs w:val="36"/>
          <w:lang w:val="fr-FR" w:eastAsia="de-DE"/>
        </w:rPr>
        <w:t>Réponse émise le 14 novembre 2017</w:t>
      </w:r>
    </w:p>
    <w:p w:rsid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La </w:t>
      </w:r>
      <w:r w:rsidRPr="00221CD2">
        <w:rPr>
          <w:rFonts w:eastAsia="Times New Roman" w:cs="Times New Roman"/>
          <w:b/>
          <w:sz w:val="24"/>
          <w:szCs w:val="24"/>
          <w:u w:val="single"/>
          <w:lang w:val="fr-FR" w:eastAsia="de-DE"/>
        </w:rPr>
        <w:t>recherche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dans le </w:t>
      </w:r>
      <w:r w:rsidRPr="00221CD2">
        <w:rPr>
          <w:rFonts w:eastAsia="Times New Roman" w:cs="Times New Roman"/>
          <w:b/>
          <w:sz w:val="24"/>
          <w:szCs w:val="24"/>
          <w:u w:val="single"/>
          <w:lang w:val="fr-FR" w:eastAsia="de-DE"/>
        </w:rPr>
        <w:t>domaine nucléaire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se divise en deux pôles principaux : </w:t>
      </w:r>
    </w:p>
    <w:p w:rsid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-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la recherche menée par les entreprises de la filière, notamment les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exploitants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pour un budget de l'ordre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de 1 Md€ par an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</w:p>
    <w:p w:rsid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>
        <w:rPr>
          <w:rFonts w:eastAsia="Times New Roman" w:cs="Times New Roman"/>
          <w:sz w:val="24"/>
          <w:szCs w:val="24"/>
          <w:lang w:val="fr-FR" w:eastAsia="de-DE"/>
        </w:rPr>
        <w:t xml:space="preserve">-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et la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recherche publique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menée par des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établissements d'enseignement supérieur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et des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organismes de recherche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comme le 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Commissariat à l'énergie atomique et aux énergies alternatives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(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CEA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 qui a reçu près de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400 M€ de subvention récurrente en 2016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pour financer ses programmes de recherche dans le nucléaire, auquel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s'ajoutent près de 130 M€ dans le cadre des investissements d'avenir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</w:t>
      </w:r>
    </w:p>
    <w:p w:rsid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L'État continue d'investir dans de nombreux projets de recherche. Il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soutient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la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 xml:space="preserve">construction du 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réacteur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 xml:space="preserve"> 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Jules Horowitz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 xml:space="preserve">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qui vise à offrir une capacité expérimentale pour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étudier le comportement sous irradiation des matériaux et à produire des radio-isotopes pour des applications médicales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</w:t>
      </w:r>
    </w:p>
    <w:p w:rsid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 w:eastAsia="de-DE"/>
        </w:rPr>
      </w:pP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La France contribue également au 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projet ITER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 xml:space="preserve">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sur la période 2012-2020 à hauteur de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15 % du budget total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soit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près de 1 Md€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ITER étant un programme de recherche international visant à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démontrer la faisabilité de la fusion nucléaire par confinement magnétique avec la construction d'un réacteur en France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</w:t>
      </w:r>
    </w:p>
    <w:p w:rsidR="00221CD2" w:rsidRPr="00221CD2" w:rsidRDefault="00221CD2" w:rsidP="00221CD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fr-FR" w:eastAsia="de-DE"/>
        </w:rPr>
      </w:pPr>
      <w:r w:rsidRPr="00221CD2">
        <w:rPr>
          <w:rFonts w:eastAsia="Times New Roman" w:cs="Times New Roman"/>
          <w:sz w:val="24"/>
          <w:szCs w:val="24"/>
          <w:lang w:val="fr-FR" w:eastAsia="de-DE"/>
        </w:rPr>
        <w:t>Au niveau national, la recherche nucléaire s'inscrit dans le cadre de la stratégie nationale pour la recherche énergétique (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SNRE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 publiée en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2016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L'objectif premier repose sur une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amélioration continue de la production d'électricité d'origine nucléaire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autour de trois défis majeurs : la </w:t>
      </w:r>
      <w:r w:rsidRPr="00221CD2">
        <w:rPr>
          <w:rFonts w:eastAsia="Times New Roman" w:cs="Times New Roman"/>
          <w:b/>
          <w:sz w:val="24"/>
          <w:szCs w:val="24"/>
          <w:u w:val="single"/>
          <w:lang w:val="fr-FR" w:eastAsia="de-DE"/>
        </w:rPr>
        <w:t>sûreté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des installations, la </w:t>
      </w:r>
      <w:r w:rsidRPr="00221CD2">
        <w:rPr>
          <w:rFonts w:eastAsia="Times New Roman" w:cs="Times New Roman"/>
          <w:b/>
          <w:sz w:val="24"/>
          <w:szCs w:val="24"/>
          <w:u w:val="single"/>
          <w:lang w:val="fr-FR" w:eastAsia="de-DE"/>
        </w:rPr>
        <w:t>prolongation de la durée de vie du parc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électronucléaire et son </w:t>
      </w:r>
      <w:r w:rsidRPr="00221CD2">
        <w:rPr>
          <w:rFonts w:eastAsia="Times New Roman" w:cs="Times New Roman"/>
          <w:b/>
          <w:sz w:val="24"/>
          <w:szCs w:val="24"/>
          <w:u w:val="single"/>
          <w:lang w:val="fr-FR" w:eastAsia="de-DE"/>
        </w:rPr>
        <w:t>évolution et la maîtrise de la gestion des déchets radioactifs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Dans la filière nucléaire, le 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 xml:space="preserve">comité stratégique de la filière nucléaire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>(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CSFN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), tenu en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décembre 2016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a permis de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préciser une feuille de route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avec l'ensemble des parties prenantes autour de </w:t>
      </w:r>
      <w:r w:rsidR="00227C0C">
        <w:rPr>
          <w:rFonts w:eastAsia="Times New Roman" w:cs="Times New Roman"/>
          <w:b/>
          <w:sz w:val="24"/>
          <w:szCs w:val="24"/>
          <w:lang w:val="fr-FR" w:eastAsia="de-DE"/>
        </w:rPr>
        <w:t>4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 xml:space="preserve"> axes principaux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pour lui permettre de saisir les opportunités offertes par la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révolution numérique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et la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transition énergétique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et ainsi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moderniser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son outil industriel et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transformer son modèle économique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Les </w:t>
      </w:r>
      <w:r w:rsidRPr="00221CD2">
        <w:rPr>
          <w:rFonts w:eastAsia="Times New Roman" w:cs="Times New Roman"/>
          <w:sz w:val="24"/>
          <w:szCs w:val="24"/>
          <w:u w:val="single"/>
          <w:lang w:val="fr-FR" w:eastAsia="de-DE"/>
        </w:rPr>
        <w:t>deux voies d'action privilégiées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étaient le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renforcement de la collaboration entre les entreprises en matière de recherche et développement (</w:t>
      </w:r>
      <w:r w:rsidRPr="00221CD2">
        <w:rPr>
          <w:rFonts w:eastAsia="Times New Roman" w:cs="Times New Roman"/>
          <w:b/>
          <w:color w:val="FF0000"/>
          <w:sz w:val="24"/>
          <w:szCs w:val="24"/>
          <w:lang w:val="fr-FR" w:eastAsia="de-DE"/>
        </w:rPr>
        <w:t>R&amp;D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 mais également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l'identification de ruptures technologiques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dans plusieurs domaines :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réacteurs de génération IV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autres concepts de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réacteurs innovants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(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SMR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),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cycle fermé du combustible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gestion des déchets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mix énergétique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réseaux électriques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… Au niveau des opérateurs de recherche, les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orientations nationales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se déclinent également dans les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contrats d'objectifs et de performance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(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COP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) des établissements publics. Ainsi, pour le 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CEA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, le </w:t>
      </w:r>
      <w:r w:rsidRPr="00221CD2">
        <w:rPr>
          <w:rFonts w:eastAsia="Times New Roman" w:cs="Times New Roman"/>
          <w:color w:val="FF0000"/>
          <w:sz w:val="24"/>
          <w:szCs w:val="24"/>
          <w:lang w:val="fr-FR" w:eastAsia="de-DE"/>
        </w:rPr>
        <w:t>COP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portant sur la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période 2016-2020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définit les orientations majeures et les jalons </w:t>
      </w:r>
      <w:r w:rsidR="00227C0C">
        <w:rPr>
          <w:rFonts w:eastAsia="Times New Roman" w:cs="Times New Roman"/>
          <w:sz w:val="24"/>
          <w:szCs w:val="24"/>
          <w:lang w:val="fr-FR" w:eastAsia="de-DE"/>
        </w:rPr>
        <w:t>(</w:t>
      </w:r>
      <w:proofErr w:type="spellStart"/>
      <w:r w:rsidR="00227C0C">
        <w:rPr>
          <w:rFonts w:eastAsia="Times New Roman" w:cs="Times New Roman"/>
          <w:sz w:val="24"/>
          <w:szCs w:val="24"/>
          <w:lang w:val="fr-FR" w:eastAsia="de-DE"/>
        </w:rPr>
        <w:t>Meilenstein</w:t>
      </w:r>
      <w:proofErr w:type="spellEnd"/>
      <w:r w:rsidR="00227C0C">
        <w:rPr>
          <w:rFonts w:eastAsia="Times New Roman" w:cs="Times New Roman"/>
          <w:sz w:val="24"/>
          <w:szCs w:val="24"/>
          <w:lang w:val="fr-FR" w:eastAsia="de-DE"/>
        </w:rPr>
        <w:t>/</w:t>
      </w:r>
      <w:proofErr w:type="spellStart"/>
      <w:r w:rsidR="00227C0C">
        <w:rPr>
          <w:rFonts w:eastAsia="Times New Roman" w:cs="Times New Roman"/>
          <w:sz w:val="24"/>
          <w:szCs w:val="24"/>
          <w:lang w:val="fr-FR" w:eastAsia="de-DE"/>
        </w:rPr>
        <w:t>Messlatte</w:t>
      </w:r>
      <w:proofErr w:type="spellEnd"/>
      <w:r w:rsidR="00227C0C">
        <w:rPr>
          <w:rFonts w:eastAsia="Times New Roman" w:cs="Times New Roman"/>
          <w:sz w:val="24"/>
          <w:szCs w:val="24"/>
          <w:lang w:val="fr-FR" w:eastAsia="de-DE"/>
        </w:rPr>
        <w:t xml:space="preserve">) 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correspondants. Parmi ces orientations, figurent le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maintien d'un haut niveau d'expertise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au service de la filière nucléaire et le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renouvellement de l'outil de R&amp;D nucléaire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. Le maintien d'une recherche de qualité est primordial pour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renforcer la sûreté des installations nucléaires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tout en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lastRenderedPageBreak/>
        <w:t>améliorant la performance des réacteurs électronucléaires</w:t>
      </w:r>
      <w:r w:rsidRPr="00221CD2">
        <w:rPr>
          <w:rFonts w:eastAsia="Times New Roman" w:cs="Times New Roman"/>
          <w:sz w:val="24"/>
          <w:szCs w:val="24"/>
          <w:lang w:val="fr-FR" w:eastAsia="de-DE"/>
        </w:rPr>
        <w:t xml:space="preserve"> et en assurant une </w:t>
      </w:r>
      <w:r w:rsidRPr="00221CD2">
        <w:rPr>
          <w:rFonts w:eastAsia="Times New Roman" w:cs="Times New Roman"/>
          <w:b/>
          <w:sz w:val="24"/>
          <w:szCs w:val="24"/>
          <w:lang w:val="fr-FR" w:eastAsia="de-DE"/>
        </w:rPr>
        <w:t>gestion durable des déchets radioactifs.</w:t>
      </w:r>
    </w:p>
    <w:p w:rsidR="00BB024F" w:rsidRPr="00221CD2" w:rsidRDefault="00BB024F">
      <w:pPr>
        <w:rPr>
          <w:lang w:val="fr-FR"/>
        </w:rPr>
      </w:pPr>
    </w:p>
    <w:p w:rsidR="00221CD2" w:rsidRPr="00221CD2" w:rsidRDefault="00221CD2">
      <w:pPr>
        <w:rPr>
          <w:lang w:val="fr-FR"/>
        </w:rPr>
      </w:pPr>
      <w:r w:rsidRPr="00221CD2">
        <w:rPr>
          <w:lang w:val="fr-FR"/>
        </w:rPr>
        <w:t xml:space="preserve">Die </w:t>
      </w:r>
      <w:proofErr w:type="spellStart"/>
      <w:r w:rsidRPr="00221CD2">
        <w:rPr>
          <w:lang w:val="fr-FR"/>
        </w:rPr>
        <w:t>Frage</w:t>
      </w:r>
      <w:proofErr w:type="spellEnd"/>
      <w:r w:rsidRPr="00221CD2">
        <w:rPr>
          <w:lang w:val="fr-FR"/>
        </w:rPr>
        <w:t> :</w:t>
      </w:r>
    </w:p>
    <w:p w:rsidR="00221CD2" w:rsidRPr="00221CD2" w:rsidRDefault="00221CD2" w:rsidP="00221CD2">
      <w:pPr>
        <w:pStyle w:val="berschrift1"/>
        <w:rPr>
          <w:rFonts w:asciiTheme="minorHAnsi" w:hAnsiTheme="minorHAnsi"/>
          <w:lang w:val="fr-FR"/>
        </w:rPr>
      </w:pPr>
      <w:r w:rsidRPr="00221CD2">
        <w:rPr>
          <w:rFonts w:asciiTheme="minorHAnsi" w:hAnsiTheme="minorHAnsi"/>
          <w:lang w:val="fr-FR"/>
        </w:rPr>
        <w:t>Question N° 2477 au Ministère de la transition écologique et solidaire</w:t>
      </w:r>
    </w:p>
    <w:p w:rsidR="00221CD2" w:rsidRPr="00221CD2" w:rsidRDefault="00221CD2" w:rsidP="00221CD2">
      <w:pPr>
        <w:pStyle w:val="berschrift2"/>
        <w:rPr>
          <w:rFonts w:asciiTheme="minorHAnsi" w:hAnsiTheme="minorHAnsi"/>
          <w:lang w:val="fr-FR"/>
        </w:rPr>
      </w:pPr>
      <w:r w:rsidRPr="00221CD2">
        <w:rPr>
          <w:rFonts w:asciiTheme="minorHAnsi" w:hAnsiTheme="minorHAnsi"/>
          <w:lang w:val="fr-FR"/>
        </w:rPr>
        <w:t>Question soumise le 31 octobre 2017</w:t>
      </w:r>
    </w:p>
    <w:p w:rsidR="003953BD" w:rsidRDefault="00221CD2" w:rsidP="00221CD2">
      <w:pPr>
        <w:pStyle w:val="StandardWeb"/>
        <w:rPr>
          <w:rFonts w:asciiTheme="minorHAnsi" w:hAnsiTheme="minorHAnsi"/>
          <w:lang w:val="fr-FR"/>
        </w:rPr>
      </w:pPr>
      <w:r w:rsidRPr="00221CD2">
        <w:rPr>
          <w:rFonts w:asciiTheme="minorHAnsi" w:hAnsiTheme="minorHAnsi"/>
          <w:lang w:val="fr-FR"/>
        </w:rPr>
        <w:t xml:space="preserve">M. Raphaël </w:t>
      </w:r>
      <w:proofErr w:type="spellStart"/>
      <w:r w:rsidRPr="00221CD2">
        <w:rPr>
          <w:rFonts w:asciiTheme="minorHAnsi" w:hAnsiTheme="minorHAnsi"/>
          <w:lang w:val="fr-FR"/>
        </w:rPr>
        <w:t>Schellenberger</w:t>
      </w:r>
      <w:proofErr w:type="spellEnd"/>
      <w:r w:rsidRPr="00221CD2">
        <w:rPr>
          <w:rFonts w:asciiTheme="minorHAnsi" w:hAnsiTheme="minorHAnsi"/>
          <w:lang w:val="fr-FR"/>
        </w:rPr>
        <w:t xml:space="preserve"> interroge M. le ministre d'État, ministre de la transition écologique et solidaire, sur </w:t>
      </w:r>
      <w:r w:rsidRPr="003953BD">
        <w:rPr>
          <w:rFonts w:asciiTheme="minorHAnsi" w:hAnsiTheme="minorHAnsi"/>
          <w:b/>
          <w:lang w:val="fr-FR"/>
        </w:rPr>
        <w:t>l'avenir de la filière nucléaire française</w:t>
      </w:r>
      <w:r w:rsidRPr="00221CD2">
        <w:rPr>
          <w:rFonts w:asciiTheme="minorHAnsi" w:hAnsiTheme="minorHAnsi"/>
          <w:lang w:val="fr-FR"/>
        </w:rPr>
        <w:t xml:space="preserve">. Avec plus de 2 500 entreprises, la filière nucléaire constitue la </w:t>
      </w:r>
      <w:r w:rsidRPr="003953BD">
        <w:rPr>
          <w:rFonts w:asciiTheme="minorHAnsi" w:hAnsiTheme="minorHAnsi"/>
          <w:b/>
          <w:lang w:val="fr-FR"/>
        </w:rPr>
        <w:t>troisième filière industrielle</w:t>
      </w:r>
      <w:r w:rsidRPr="00221CD2">
        <w:rPr>
          <w:rFonts w:asciiTheme="minorHAnsi" w:hAnsiTheme="minorHAnsi"/>
          <w:lang w:val="fr-FR"/>
        </w:rPr>
        <w:t xml:space="preserve"> française et un </w:t>
      </w:r>
      <w:r w:rsidRPr="003953BD">
        <w:rPr>
          <w:rFonts w:asciiTheme="minorHAnsi" w:hAnsiTheme="minorHAnsi"/>
          <w:b/>
          <w:lang w:val="fr-FR"/>
        </w:rPr>
        <w:t>champ d'excellence</w:t>
      </w:r>
      <w:r w:rsidRPr="00221CD2">
        <w:rPr>
          <w:rFonts w:asciiTheme="minorHAnsi" w:hAnsiTheme="minorHAnsi"/>
          <w:lang w:val="fr-FR"/>
        </w:rPr>
        <w:t xml:space="preserve"> qui permet à la France de rayonner à travers le monde par sa compétence. En faisant confiance à la science et au progrès dans ses choix de politique énergétique, la France a </w:t>
      </w:r>
      <w:r w:rsidRPr="003953BD">
        <w:rPr>
          <w:rFonts w:asciiTheme="minorHAnsi" w:hAnsiTheme="minorHAnsi"/>
          <w:b/>
          <w:lang w:val="fr-FR"/>
        </w:rPr>
        <w:t>soutenu le développement d'une industrie exigeante</w:t>
      </w:r>
      <w:r w:rsidRPr="00221CD2">
        <w:rPr>
          <w:rFonts w:asciiTheme="minorHAnsi" w:hAnsiTheme="minorHAnsi"/>
          <w:lang w:val="fr-FR"/>
        </w:rPr>
        <w:t xml:space="preserve">, à forte </w:t>
      </w:r>
      <w:r w:rsidRPr="003953BD">
        <w:rPr>
          <w:rFonts w:asciiTheme="minorHAnsi" w:hAnsiTheme="minorHAnsi"/>
          <w:b/>
          <w:lang w:val="fr-FR"/>
        </w:rPr>
        <w:t>valeur ajoutée</w:t>
      </w:r>
      <w:r w:rsidRPr="00221CD2">
        <w:rPr>
          <w:rFonts w:asciiTheme="minorHAnsi" w:hAnsiTheme="minorHAnsi"/>
          <w:lang w:val="fr-FR"/>
        </w:rPr>
        <w:t xml:space="preserve">. Aujourd'hui, la France compte des </w:t>
      </w:r>
      <w:r w:rsidRPr="003953BD">
        <w:rPr>
          <w:rFonts w:asciiTheme="minorHAnsi" w:hAnsiTheme="minorHAnsi"/>
          <w:b/>
          <w:lang w:val="fr-FR"/>
        </w:rPr>
        <w:t>ingénieurs et des techniciens dotés d'une expertise unique au monde</w:t>
      </w:r>
      <w:r w:rsidRPr="00221CD2">
        <w:rPr>
          <w:rFonts w:asciiTheme="minorHAnsi" w:hAnsiTheme="minorHAnsi"/>
          <w:lang w:val="fr-FR"/>
        </w:rPr>
        <w:t xml:space="preserve">. Cela constitue un atout pour la France, une </w:t>
      </w:r>
      <w:r w:rsidRPr="003953BD">
        <w:rPr>
          <w:rFonts w:asciiTheme="minorHAnsi" w:hAnsiTheme="minorHAnsi"/>
          <w:b/>
          <w:lang w:val="fr-FR"/>
        </w:rPr>
        <w:t>promesse de réussite</w:t>
      </w:r>
      <w:r w:rsidRPr="00221CD2">
        <w:rPr>
          <w:rFonts w:asciiTheme="minorHAnsi" w:hAnsiTheme="minorHAnsi"/>
          <w:lang w:val="fr-FR"/>
        </w:rPr>
        <w:t xml:space="preserve">. </w:t>
      </w:r>
    </w:p>
    <w:p w:rsidR="00221CD2" w:rsidRPr="00221CD2" w:rsidRDefault="00221CD2" w:rsidP="00221CD2">
      <w:pPr>
        <w:pStyle w:val="StandardWeb"/>
        <w:rPr>
          <w:rFonts w:asciiTheme="minorHAnsi" w:hAnsiTheme="minorHAnsi"/>
          <w:lang w:val="fr-FR"/>
        </w:rPr>
      </w:pPr>
      <w:r w:rsidRPr="00221CD2">
        <w:rPr>
          <w:rFonts w:asciiTheme="minorHAnsi" w:hAnsiTheme="minorHAnsi"/>
          <w:lang w:val="fr-FR"/>
        </w:rPr>
        <w:t xml:space="preserve">Les </w:t>
      </w:r>
      <w:r w:rsidRPr="003953BD">
        <w:rPr>
          <w:rFonts w:asciiTheme="minorHAnsi" w:hAnsiTheme="minorHAnsi"/>
          <w:b/>
          <w:lang w:val="fr-FR"/>
        </w:rPr>
        <w:t>orientations récentes</w:t>
      </w:r>
      <w:r w:rsidRPr="00221CD2">
        <w:rPr>
          <w:rFonts w:asciiTheme="minorHAnsi" w:hAnsiTheme="minorHAnsi"/>
          <w:lang w:val="fr-FR"/>
        </w:rPr>
        <w:t xml:space="preserve"> en matière d'énergie, </w:t>
      </w:r>
      <w:r w:rsidRPr="003953BD">
        <w:rPr>
          <w:rFonts w:asciiTheme="minorHAnsi" w:hAnsiTheme="minorHAnsi"/>
          <w:b/>
          <w:lang w:val="fr-FR"/>
        </w:rPr>
        <w:t>réduisant progressivement la part du nucléaire dans le mix énergétique français</w:t>
      </w:r>
      <w:r w:rsidRPr="00221CD2">
        <w:rPr>
          <w:rFonts w:asciiTheme="minorHAnsi" w:hAnsiTheme="minorHAnsi"/>
          <w:lang w:val="fr-FR"/>
        </w:rPr>
        <w:t xml:space="preserve"> et dévalorisant les apports de cette filière dans le dynamisme économique de notre pays, menacent l'excellence de la filière nucléaire française alors même que </w:t>
      </w:r>
      <w:r w:rsidRPr="003953BD">
        <w:rPr>
          <w:rFonts w:asciiTheme="minorHAnsi" w:hAnsiTheme="minorHAnsi"/>
          <w:b/>
          <w:lang w:val="fr-FR"/>
        </w:rPr>
        <w:t>le monde connaît un regain d'intérêt pour les réacteurs nucléaires</w:t>
      </w:r>
      <w:r w:rsidRPr="00221CD2">
        <w:rPr>
          <w:rFonts w:asciiTheme="minorHAnsi" w:hAnsiTheme="minorHAnsi"/>
          <w:lang w:val="fr-FR"/>
        </w:rPr>
        <w:t xml:space="preserve">. La France, par la qualité de son expertise, a les atouts pour devenir un acteur essentiel dans l'avenir de cette filière, à condition de maintenir sa confiance en </w:t>
      </w:r>
      <w:r w:rsidRPr="003953BD">
        <w:rPr>
          <w:rFonts w:asciiTheme="minorHAnsi" w:hAnsiTheme="minorHAnsi"/>
          <w:b/>
          <w:lang w:val="fr-FR"/>
        </w:rPr>
        <w:t>cette source d'énergie bas carbone, indispensable pour réduire les émissions de gaz à effet de serre</w:t>
      </w:r>
      <w:r w:rsidRPr="00221CD2">
        <w:rPr>
          <w:rFonts w:asciiTheme="minorHAnsi" w:hAnsiTheme="minorHAnsi"/>
          <w:lang w:val="fr-FR"/>
        </w:rPr>
        <w:t>. Il l'interroge donc sur l'ambition qu'il entend porter en matière de recherche dans le domaine du nucléaire afin de saisir les opportunités de croissance du secteur.</w:t>
      </w:r>
    </w:p>
    <w:p w:rsidR="00221CD2" w:rsidRPr="00221CD2" w:rsidRDefault="00221CD2">
      <w:pPr>
        <w:rPr>
          <w:lang w:val="fr-FR"/>
        </w:rPr>
      </w:pPr>
    </w:p>
    <w:sectPr w:rsidR="00221CD2" w:rsidRPr="00221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2"/>
    <w:rsid w:val="0007730E"/>
    <w:rsid w:val="00221CD2"/>
    <w:rsid w:val="00227C0C"/>
    <w:rsid w:val="003953BD"/>
    <w:rsid w:val="004E15BA"/>
    <w:rsid w:val="00843900"/>
    <w:rsid w:val="00BB024F"/>
    <w:rsid w:val="00C3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1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2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C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21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1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2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C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21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2017-11-29T11:45:00Z</dcterms:created>
  <dcterms:modified xsi:type="dcterms:W3CDTF">2017-11-29T12:29:00Z</dcterms:modified>
</cp:coreProperties>
</file>